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76D191"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870358" w:rsidRPr="00495B3B" w14:paraId="7C7EDD09" w14:textId="77777777" w:rsidTr="5091A809">
        <w:trPr>
          <w:trHeight w:val="399"/>
        </w:trPr>
        <w:tc>
          <w:tcPr>
            <w:tcW w:w="2580" w:type="dxa"/>
            <w:tcBorders>
              <w:top w:val="nil"/>
              <w:bottom w:val="nil"/>
              <w:right w:val="nil"/>
            </w:tcBorders>
            <w:vAlign w:val="center"/>
          </w:tcPr>
          <w:p w14:paraId="2A0E891F" w14:textId="77777777" w:rsidR="00870358" w:rsidRPr="00495B3B" w:rsidRDefault="00870358" w:rsidP="00870358">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03B9717" w:rsidR="00870358" w:rsidRPr="00495B3B" w:rsidRDefault="00870358" w:rsidP="0041567B">
            <w:pPr>
              <w:spacing w:before="0" w:after="0"/>
              <w:ind w:right="-450"/>
              <w:rPr>
                <w:rFonts w:ascii="Arial" w:hAnsi="Arial" w:cs="Arial"/>
                <w:color w:val="363534"/>
                <w:szCs w:val="22"/>
              </w:rPr>
            </w:pPr>
            <w:r>
              <w:rPr>
                <w:rFonts w:ascii="Arial" w:hAnsi="Arial" w:cs="Arial"/>
                <w:color w:val="363534"/>
                <w:szCs w:val="22"/>
              </w:rPr>
              <w:t>Principal</w:t>
            </w:r>
            <w:r w:rsidRPr="00E97D38">
              <w:rPr>
                <w:rFonts w:ascii="Arial" w:hAnsi="Arial" w:cs="Arial"/>
                <w:color w:val="363534"/>
                <w:szCs w:val="22"/>
              </w:rPr>
              <w:t xml:space="preserve"> Market Analyst</w:t>
            </w:r>
          </w:p>
        </w:tc>
      </w:tr>
      <w:tr w:rsidR="00870358" w:rsidRPr="00495B3B" w14:paraId="5F8F815C" w14:textId="77777777" w:rsidTr="5091A809">
        <w:trPr>
          <w:trHeight w:val="399"/>
        </w:trPr>
        <w:tc>
          <w:tcPr>
            <w:tcW w:w="2580" w:type="dxa"/>
            <w:tcBorders>
              <w:top w:val="nil"/>
              <w:bottom w:val="nil"/>
              <w:right w:val="nil"/>
            </w:tcBorders>
            <w:vAlign w:val="center"/>
          </w:tcPr>
          <w:p w14:paraId="29F28D7E" w14:textId="77777777" w:rsidR="00870358" w:rsidRPr="00495B3B" w:rsidRDefault="00870358" w:rsidP="5091A809">
            <w:pPr>
              <w:spacing w:before="0" w:after="0"/>
              <w:ind w:right="-450"/>
              <w:rPr>
                <w:rFonts w:ascii="Arial" w:hAnsi="Arial" w:cs="Arial"/>
                <w:color w:val="363534"/>
              </w:rPr>
            </w:pPr>
            <w:r w:rsidRPr="5091A809">
              <w:rPr>
                <w:rFonts w:ascii="Arial" w:hAnsi="Arial" w:cs="Arial"/>
                <w:b/>
                <w:bCs/>
                <w:color w:val="363534"/>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2B05AEA" w:rsidR="00870358" w:rsidRPr="00495B3B" w:rsidRDefault="12FD6424" w:rsidP="00676A12">
            <w:pPr>
              <w:pStyle w:val="Heading2"/>
              <w:spacing w:before="0" w:after="0" w:line="240" w:lineRule="atLeast"/>
              <w:rPr>
                <w:rFonts w:ascii="Arial" w:hAnsi="Arial" w:cs="Arial"/>
                <w:b w:val="0"/>
                <w:bCs w:val="0"/>
                <w:color w:val="363534"/>
                <w:sz w:val="20"/>
                <w:szCs w:val="20"/>
              </w:rPr>
            </w:pPr>
            <w:r w:rsidRPr="5091A809">
              <w:rPr>
                <w:rFonts w:asciiTheme="minorHAnsi" w:eastAsia="Times New Roman" w:hAnsiTheme="minorHAnsi" w:cs="Arial"/>
                <w:b w:val="0"/>
                <w:bCs w:val="0"/>
                <w:color w:val="363534"/>
                <w:sz w:val="20"/>
                <w:szCs w:val="20"/>
              </w:rPr>
              <w:t>50967433</w:t>
            </w:r>
          </w:p>
        </w:tc>
      </w:tr>
      <w:tr w:rsidR="00870358" w:rsidRPr="00495B3B" w14:paraId="6052E497" w14:textId="77777777" w:rsidTr="5091A809">
        <w:trPr>
          <w:trHeight w:val="399"/>
        </w:trPr>
        <w:tc>
          <w:tcPr>
            <w:tcW w:w="2580" w:type="dxa"/>
            <w:tcBorders>
              <w:top w:val="nil"/>
              <w:bottom w:val="nil"/>
              <w:right w:val="nil"/>
            </w:tcBorders>
            <w:vAlign w:val="center"/>
          </w:tcPr>
          <w:p w14:paraId="1F62A115" w14:textId="77777777" w:rsidR="00870358" w:rsidRPr="00495B3B" w:rsidRDefault="00870358" w:rsidP="00870358">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AE6945B" w:rsidR="00870358" w:rsidRPr="00495B3B" w:rsidRDefault="00870358" w:rsidP="0041567B">
            <w:pPr>
              <w:spacing w:before="0" w:after="0"/>
              <w:ind w:right="-450"/>
              <w:rPr>
                <w:rFonts w:ascii="Arial" w:hAnsi="Arial" w:cs="Arial"/>
                <w:color w:val="363534"/>
                <w:szCs w:val="22"/>
              </w:rPr>
            </w:pPr>
            <w:r w:rsidRPr="00E97D38">
              <w:rPr>
                <w:rFonts w:ascii="Arial" w:hAnsi="Arial" w:cs="Arial"/>
                <w:color w:val="363534"/>
                <w:szCs w:val="22"/>
              </w:rPr>
              <w:t xml:space="preserve">VPS Grade </w:t>
            </w:r>
            <w:r>
              <w:rPr>
                <w:rFonts w:ascii="Arial" w:hAnsi="Arial" w:cs="Arial"/>
                <w:color w:val="363534"/>
                <w:szCs w:val="22"/>
              </w:rPr>
              <w:t>6</w:t>
            </w:r>
          </w:p>
        </w:tc>
      </w:tr>
      <w:tr w:rsidR="00870358" w:rsidRPr="00495B3B" w14:paraId="513E600D" w14:textId="77777777" w:rsidTr="5091A809">
        <w:trPr>
          <w:trHeight w:val="399"/>
        </w:trPr>
        <w:tc>
          <w:tcPr>
            <w:tcW w:w="2580" w:type="dxa"/>
            <w:tcBorders>
              <w:top w:val="nil"/>
              <w:bottom w:val="nil"/>
              <w:right w:val="nil"/>
            </w:tcBorders>
            <w:vAlign w:val="center"/>
          </w:tcPr>
          <w:p w14:paraId="67184DB8" w14:textId="77777777" w:rsidR="00870358" w:rsidRPr="00495B3B" w:rsidRDefault="00870358" w:rsidP="00870358">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3503CEC" w:rsidR="00870358" w:rsidRPr="00495B3B" w:rsidRDefault="00870358" w:rsidP="0041567B">
            <w:pPr>
              <w:spacing w:before="0" w:after="0"/>
              <w:ind w:right="-450"/>
              <w:rPr>
                <w:rFonts w:ascii="Arial" w:hAnsi="Arial" w:cs="Arial"/>
                <w:color w:val="363534"/>
                <w:szCs w:val="22"/>
              </w:rPr>
            </w:pPr>
            <w:r w:rsidRPr="00E97D38">
              <w:rPr>
                <w:rFonts w:ascii="Arial" w:hAnsi="Arial" w:cs="Arial"/>
                <w:color w:val="363534"/>
                <w:szCs w:val="22"/>
              </w:rPr>
              <w:t>$</w:t>
            </w:r>
            <w:r>
              <w:rPr>
                <w:rFonts w:ascii="Arial" w:hAnsi="Arial" w:cs="Arial"/>
                <w:color w:val="363534"/>
                <w:szCs w:val="22"/>
              </w:rPr>
              <w:t>138,631</w:t>
            </w:r>
            <w:r w:rsidRPr="00E97D38">
              <w:rPr>
                <w:rFonts w:ascii="Arial" w:hAnsi="Arial" w:cs="Arial"/>
                <w:color w:val="363534"/>
                <w:szCs w:val="22"/>
              </w:rPr>
              <w:t xml:space="preserve"> - $1</w:t>
            </w:r>
            <w:r>
              <w:rPr>
                <w:rFonts w:ascii="Arial" w:hAnsi="Arial" w:cs="Arial"/>
                <w:color w:val="363534"/>
                <w:szCs w:val="22"/>
              </w:rPr>
              <w:t>85</w:t>
            </w:r>
            <w:r w:rsidRPr="00E97D38">
              <w:rPr>
                <w:rFonts w:ascii="Arial" w:hAnsi="Arial" w:cs="Arial"/>
                <w:color w:val="363534"/>
                <w:szCs w:val="22"/>
              </w:rPr>
              <w:t>,</w:t>
            </w:r>
            <w:r>
              <w:rPr>
                <w:rFonts w:ascii="Arial" w:hAnsi="Arial" w:cs="Arial"/>
                <w:color w:val="363534"/>
                <w:szCs w:val="22"/>
              </w:rPr>
              <w:t>518</w:t>
            </w:r>
            <w:r w:rsidRPr="00E97D38">
              <w:rPr>
                <w:rFonts w:ascii="Arial" w:hAnsi="Arial" w:cs="Arial"/>
                <w:color w:val="363534"/>
                <w:szCs w:val="22"/>
              </w:rPr>
              <w:t xml:space="preserve"> plus superannuation</w:t>
            </w:r>
          </w:p>
        </w:tc>
      </w:tr>
      <w:tr w:rsidR="00870358" w:rsidRPr="00495B3B" w14:paraId="2A722203" w14:textId="77777777" w:rsidTr="5091A809">
        <w:trPr>
          <w:trHeight w:val="399"/>
        </w:trPr>
        <w:tc>
          <w:tcPr>
            <w:tcW w:w="2580" w:type="dxa"/>
            <w:tcBorders>
              <w:top w:val="nil"/>
              <w:bottom w:val="nil"/>
              <w:right w:val="nil"/>
            </w:tcBorders>
            <w:vAlign w:val="center"/>
          </w:tcPr>
          <w:p w14:paraId="60F7C270" w14:textId="77777777" w:rsidR="00870358" w:rsidRPr="00495B3B" w:rsidRDefault="00870358" w:rsidP="00870358">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6958555" w:rsidR="00870358" w:rsidRPr="00495B3B" w:rsidRDefault="5BEFE096" w:rsidP="0041567B">
            <w:pPr>
              <w:tabs>
                <w:tab w:val="left" w:pos="3529"/>
              </w:tabs>
              <w:spacing w:before="0" w:after="0"/>
              <w:ind w:right="-450"/>
              <w:rPr>
                <w:rFonts w:ascii="Arial" w:hAnsi="Arial" w:cs="Arial"/>
                <w:color w:val="363534"/>
              </w:rPr>
            </w:pPr>
            <w:r w:rsidRPr="233A2782">
              <w:rPr>
                <w:rFonts w:ascii="Arial" w:hAnsi="Arial" w:cs="Arial"/>
                <w:color w:val="363534"/>
              </w:rPr>
              <w:t>Fixed term – 3 years</w:t>
            </w:r>
          </w:p>
        </w:tc>
      </w:tr>
      <w:tr w:rsidR="00870358" w:rsidRPr="00495B3B" w14:paraId="73E4C712" w14:textId="77777777" w:rsidTr="5091A809">
        <w:trPr>
          <w:trHeight w:val="399"/>
        </w:trPr>
        <w:tc>
          <w:tcPr>
            <w:tcW w:w="2580" w:type="dxa"/>
            <w:tcBorders>
              <w:top w:val="nil"/>
              <w:bottom w:val="nil"/>
              <w:right w:val="nil"/>
            </w:tcBorders>
            <w:vAlign w:val="center"/>
          </w:tcPr>
          <w:p w14:paraId="778F959E" w14:textId="77777777" w:rsidR="00870358" w:rsidRPr="00495B3B" w:rsidRDefault="00870358" w:rsidP="00870358">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B867A63" w:rsidR="00870358" w:rsidRPr="00495B3B" w:rsidRDefault="00870358" w:rsidP="0041567B">
            <w:pPr>
              <w:spacing w:before="0" w:after="0"/>
              <w:ind w:right="-450"/>
              <w:rPr>
                <w:rFonts w:ascii="Arial" w:hAnsi="Arial" w:cs="Arial"/>
                <w:color w:val="363534"/>
                <w:szCs w:val="22"/>
              </w:rPr>
            </w:pPr>
            <w:r w:rsidRPr="00E97D38">
              <w:rPr>
                <w:rFonts w:ascii="Arial" w:hAnsi="Arial" w:cs="Arial"/>
                <w:color w:val="363534"/>
                <w:szCs w:val="22"/>
              </w:rPr>
              <w:t>Energy</w:t>
            </w:r>
          </w:p>
        </w:tc>
      </w:tr>
      <w:tr w:rsidR="00870358" w:rsidRPr="00495B3B" w14:paraId="1EBFF7E6" w14:textId="77777777" w:rsidTr="5091A809">
        <w:trPr>
          <w:trHeight w:val="399"/>
        </w:trPr>
        <w:tc>
          <w:tcPr>
            <w:tcW w:w="2580" w:type="dxa"/>
            <w:tcBorders>
              <w:top w:val="nil"/>
              <w:bottom w:val="nil"/>
              <w:right w:val="nil"/>
            </w:tcBorders>
            <w:vAlign w:val="center"/>
          </w:tcPr>
          <w:p w14:paraId="2AB5EF48" w14:textId="77777777" w:rsidR="00870358" w:rsidRPr="00495B3B" w:rsidRDefault="00870358" w:rsidP="00870358">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44C37CA" w:rsidR="00870358" w:rsidRPr="00495B3B" w:rsidRDefault="00870358" w:rsidP="0041567B">
            <w:pPr>
              <w:spacing w:before="0" w:after="0"/>
              <w:ind w:right="-450"/>
              <w:rPr>
                <w:rFonts w:ascii="Arial" w:hAnsi="Arial" w:cs="Arial"/>
                <w:color w:val="363534"/>
                <w:szCs w:val="22"/>
              </w:rPr>
            </w:pPr>
            <w:r w:rsidRPr="00E97D38">
              <w:rPr>
                <w:rFonts w:ascii="Arial" w:hAnsi="Arial" w:cs="Arial"/>
                <w:color w:val="363534"/>
                <w:szCs w:val="22"/>
              </w:rPr>
              <w:t>Energy Transition and Strategy</w:t>
            </w:r>
            <w:r>
              <w:rPr>
                <w:rFonts w:ascii="Arial" w:hAnsi="Arial" w:cs="Arial"/>
                <w:color w:val="363534"/>
                <w:szCs w:val="22"/>
              </w:rPr>
              <w:t xml:space="preserve"> (ETS)</w:t>
            </w:r>
            <w:r w:rsidRPr="00E97D38">
              <w:rPr>
                <w:rFonts w:ascii="Arial" w:hAnsi="Arial" w:cs="Arial"/>
                <w:color w:val="363534"/>
                <w:szCs w:val="22"/>
              </w:rPr>
              <w:t>, Energy Market Intelligence Unit</w:t>
            </w:r>
            <w:r>
              <w:rPr>
                <w:rFonts w:ascii="Arial" w:hAnsi="Arial" w:cs="Arial"/>
                <w:color w:val="363534"/>
                <w:szCs w:val="22"/>
              </w:rPr>
              <w:t xml:space="preserve"> (EMIU)</w:t>
            </w:r>
          </w:p>
        </w:tc>
      </w:tr>
      <w:tr w:rsidR="00870358" w:rsidRPr="00495B3B" w14:paraId="37A0D7CE" w14:textId="77777777" w:rsidTr="5091A809">
        <w:trPr>
          <w:trHeight w:val="399"/>
        </w:trPr>
        <w:tc>
          <w:tcPr>
            <w:tcW w:w="2580" w:type="dxa"/>
            <w:tcBorders>
              <w:top w:val="nil"/>
              <w:bottom w:val="nil"/>
              <w:right w:val="nil"/>
            </w:tcBorders>
            <w:vAlign w:val="center"/>
          </w:tcPr>
          <w:p w14:paraId="4595FCF5" w14:textId="77777777" w:rsidR="00870358" w:rsidRPr="00495B3B" w:rsidRDefault="00870358" w:rsidP="00870358">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0AA44" w14:textId="77777777" w:rsidR="00870358" w:rsidRPr="00495B3B" w:rsidRDefault="00870358" w:rsidP="0041567B">
            <w:pPr>
              <w:spacing w:before="0" w:after="0"/>
              <w:ind w:right="-450"/>
              <w:rPr>
                <w:rFonts w:ascii="Arial" w:hAnsi="Arial" w:cs="Arial"/>
                <w:color w:val="363534"/>
                <w:szCs w:val="22"/>
              </w:rPr>
            </w:pPr>
            <w:r w:rsidRPr="00E97D38">
              <w:rPr>
                <w:rFonts w:ascii="Arial" w:hAnsi="Arial" w:cs="Arial"/>
                <w:color w:val="363534"/>
                <w:szCs w:val="22"/>
              </w:rPr>
              <w:t>Level 3, 8 Nicholson Street, East Melbourne</w:t>
            </w:r>
          </w:p>
          <w:p w14:paraId="3B7CA3B3" w14:textId="14F0BBD6" w:rsidR="00870358" w:rsidRPr="00495B3B" w:rsidRDefault="00870358" w:rsidP="0041567B">
            <w:pPr>
              <w:spacing w:before="0" w:after="0"/>
              <w:ind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870358" w:rsidRPr="00495B3B" w14:paraId="4352AE4A" w14:textId="77777777" w:rsidTr="5091A809">
        <w:trPr>
          <w:trHeight w:val="399"/>
        </w:trPr>
        <w:tc>
          <w:tcPr>
            <w:tcW w:w="2580" w:type="dxa"/>
            <w:tcBorders>
              <w:top w:val="nil"/>
              <w:bottom w:val="nil"/>
              <w:right w:val="nil"/>
            </w:tcBorders>
            <w:vAlign w:val="center"/>
          </w:tcPr>
          <w:p w14:paraId="3083C225" w14:textId="77777777" w:rsidR="00870358" w:rsidRPr="00495B3B" w:rsidRDefault="00870358" w:rsidP="00870358">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4015DA2" w:rsidR="00870358" w:rsidRPr="00495B3B" w:rsidRDefault="00870358" w:rsidP="00D13C9C">
            <w:pPr>
              <w:tabs>
                <w:tab w:val="left" w:pos="469"/>
                <w:tab w:val="left" w:pos="1189"/>
              </w:tabs>
              <w:spacing w:before="0" w:after="0"/>
              <w:ind w:right="-450"/>
              <w:rPr>
                <w:rFonts w:ascii="Arial" w:hAnsi="Arial" w:cs="Arial"/>
                <w:color w:val="363534"/>
              </w:rPr>
            </w:pPr>
            <w:r w:rsidRPr="3D8A86B9">
              <w:rPr>
                <w:rFonts w:ascii="Arial" w:hAnsi="Arial"/>
              </w:rPr>
              <w:t>Chief Analyst, Energy Market Intelligence Unit</w:t>
            </w:r>
            <w:r>
              <w:tab/>
            </w:r>
            <w:r>
              <w:tab/>
            </w:r>
          </w:p>
        </w:tc>
      </w:tr>
      <w:tr w:rsidR="00870358" w:rsidRPr="00495B3B" w14:paraId="35F6D00F" w14:textId="77777777" w:rsidTr="5091A809">
        <w:trPr>
          <w:trHeight w:val="399"/>
        </w:trPr>
        <w:tc>
          <w:tcPr>
            <w:tcW w:w="2580" w:type="dxa"/>
            <w:tcBorders>
              <w:top w:val="nil"/>
              <w:bottom w:val="nil"/>
              <w:right w:val="nil"/>
            </w:tcBorders>
            <w:vAlign w:val="center"/>
          </w:tcPr>
          <w:p w14:paraId="55F53688" w14:textId="77777777" w:rsidR="00870358" w:rsidRPr="00495B3B" w:rsidRDefault="00870358" w:rsidP="00870358">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F4408BE" w:rsidR="00870358" w:rsidRPr="00495B3B" w:rsidRDefault="00870358" w:rsidP="00870358">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870358" w:rsidRPr="00495B3B" w14:paraId="70C7CF88" w14:textId="77777777" w:rsidTr="5091A809">
        <w:trPr>
          <w:trHeight w:val="399"/>
        </w:trPr>
        <w:tc>
          <w:tcPr>
            <w:tcW w:w="2580" w:type="dxa"/>
            <w:tcBorders>
              <w:top w:val="nil"/>
              <w:bottom w:val="nil"/>
              <w:right w:val="nil"/>
            </w:tcBorders>
            <w:vAlign w:val="center"/>
          </w:tcPr>
          <w:p w14:paraId="58989FFF" w14:textId="77777777" w:rsidR="00870358" w:rsidRPr="00495B3B" w:rsidRDefault="00870358" w:rsidP="00870358">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324DE15" w:rsidR="00870358" w:rsidRPr="00495B3B" w:rsidRDefault="00870358" w:rsidP="00870358">
            <w:pPr>
              <w:spacing w:before="0" w:after="0"/>
              <w:ind w:left="57" w:right="-450"/>
              <w:rPr>
                <w:rFonts w:ascii="Arial" w:hAnsi="Arial" w:cs="Arial"/>
                <w:color w:val="363534"/>
                <w:szCs w:val="22"/>
              </w:rPr>
            </w:pPr>
            <w:r>
              <w:rPr>
                <w:rFonts w:ascii="Arial" w:hAnsi="Arial"/>
                <w:szCs w:val="22"/>
              </w:rPr>
              <w:t>Arwin Kahlon</w:t>
            </w:r>
            <w:r w:rsidRPr="00104A81">
              <w:rPr>
                <w:rFonts w:ascii="Arial" w:hAnsi="Arial"/>
                <w:szCs w:val="22"/>
              </w:rPr>
              <w:t xml:space="preserve">:  </w:t>
            </w:r>
            <w:r w:rsidRPr="00DA4A9A">
              <w:rPr>
                <w:rFonts w:ascii="Arial" w:hAnsi="Arial"/>
                <w:szCs w:val="22"/>
                <w:u w:val="single"/>
              </w:rPr>
              <w:t>arwin.kahlon@deeca.vic.gov.au</w:t>
            </w:r>
          </w:p>
        </w:tc>
      </w:tr>
    </w:tbl>
    <w:p w14:paraId="696DD84D" w14:textId="59C73404" w:rsidR="00495B3B" w:rsidRPr="00495B3B" w:rsidRDefault="00495B3B" w:rsidP="2858F03A">
      <w:pPr>
        <w:keepNext/>
        <w:spacing w:before="0" w:after="0" w:line="240" w:lineRule="auto"/>
        <w:rPr>
          <w:rFonts w:ascii="Arial" w:hAnsi="Arial" w:cs="Arial"/>
          <w:color w:val="442D97"/>
          <w:sz w:val="28"/>
          <w:szCs w:val="28"/>
          <w:lang w:eastAsia="zh-CN"/>
        </w:rPr>
      </w:pPr>
      <w:r w:rsidRPr="2858F03A">
        <w:rPr>
          <w:rFonts w:ascii="Arial" w:hAnsi="Arial" w:cs="Arial"/>
          <w:color w:val="442D97" w:themeColor="accent4" w:themeTint="BF"/>
          <w:sz w:val="28"/>
          <w:szCs w:val="28"/>
          <w:lang w:eastAsia="zh-CN"/>
        </w:rPr>
        <w:t>Position purpose</w:t>
      </w:r>
    </w:p>
    <w:p w14:paraId="7A9CBD5A" w14:textId="77777777" w:rsidR="00254FFC" w:rsidRDefault="00254FFC" w:rsidP="00254FFC">
      <w:pPr>
        <w:keepNext/>
        <w:spacing w:line="240" w:lineRule="auto"/>
        <w:ind w:right="-2"/>
        <w:rPr>
          <w:rFonts w:ascii="Arial" w:hAnsi="Arial"/>
          <w:szCs w:val="22"/>
        </w:rPr>
      </w:pPr>
      <w:r w:rsidRPr="2858F03A">
        <w:rPr>
          <w:rFonts w:ascii="Arial" w:hAnsi="Arial"/>
        </w:rPr>
        <w:t>The Principal Energy Market Analyst in the Energy Market Intelligence Unit (EMIU) prepares relevant quantitative analysis and modelling to meet the needs of the organisation. This role leads quantitative analysis on energy markets and undertakes energy market modelling using optimisation tools. The position requires a detailed understanding of energy markets. The Principal Market Analyst is responsible for applying and integrating relevant mathematical and statistical processes, using a variety of software, to build electricity, gas and stochastic simulation models. The Principal Market Modelling Analyst is responsible for applying and integrating relevant mathematical and statistical processes, using a variety of software, to build electricity, gas and stochastic simulation models. The position is also responsible for communicating quantitative assumptions, methodologies and insights in clear and concrete terms.</w:t>
      </w:r>
    </w:p>
    <w:p w14:paraId="1B3F576A" w14:textId="43A9B7C4" w:rsidR="00495B3B" w:rsidRPr="00495B3B" w:rsidRDefault="00495B3B" w:rsidP="2858F03A">
      <w:pPr>
        <w:keepNext/>
        <w:spacing w:line="240" w:lineRule="auto"/>
        <w:rPr>
          <w:rFonts w:ascii="Arial" w:hAnsi="Arial" w:cs="Arial"/>
          <w:i/>
          <w:iCs/>
          <w:color w:val="442D97"/>
          <w:sz w:val="30"/>
          <w:szCs w:val="30"/>
        </w:rPr>
      </w:pPr>
      <w:r w:rsidRPr="2858F03A">
        <w:rPr>
          <w:rFonts w:ascii="Arial" w:hAnsi="Arial" w:cs="Arial"/>
          <w:color w:val="442D97" w:themeColor="accent4" w:themeTint="BF"/>
          <w:sz w:val="28"/>
          <w:szCs w:val="28"/>
          <w:lang w:eastAsia="zh-CN"/>
        </w:rPr>
        <w:t>Context</w:t>
      </w:r>
    </w:p>
    <w:p w14:paraId="32A413D3" w14:textId="7CC8AF01" w:rsidR="2858F03A" w:rsidRDefault="2858F03A" w:rsidP="2858F03A">
      <w:pPr>
        <w:spacing w:after="240" w:line="240" w:lineRule="auto"/>
        <w:jc w:val="both"/>
        <w:rPr>
          <w:rFonts w:ascii="Arial" w:hAnsi="Arial"/>
          <w:b/>
          <w:bCs/>
          <w:i/>
          <w:iCs/>
        </w:rPr>
      </w:pPr>
    </w:p>
    <w:p w14:paraId="79276319" w14:textId="77777777" w:rsidR="00854801" w:rsidRPr="00104A81" w:rsidRDefault="00854801" w:rsidP="00854801">
      <w:pPr>
        <w:spacing w:after="240" w:line="240" w:lineRule="auto"/>
        <w:jc w:val="both"/>
        <w:rPr>
          <w:rFonts w:ascii="Arial" w:hAnsi="Arial"/>
          <w:b/>
          <w:bCs/>
          <w:i/>
          <w:iCs/>
        </w:rPr>
      </w:pPr>
      <w:r w:rsidRPr="00104A81">
        <w:rPr>
          <w:rFonts w:ascii="Arial" w:hAnsi="Arial"/>
          <w:b/>
          <w:bCs/>
          <w:i/>
          <w:iCs/>
        </w:rPr>
        <w:t>Energy Group</w:t>
      </w:r>
    </w:p>
    <w:p w14:paraId="2E7761DA" w14:textId="77777777" w:rsidR="00854801" w:rsidRPr="001C2BD3" w:rsidRDefault="00854801" w:rsidP="00854801">
      <w:pPr>
        <w:spacing w:after="240" w:line="240" w:lineRule="auto"/>
        <w:jc w:val="both"/>
        <w:rPr>
          <w:rFonts w:ascii="Arial" w:hAnsi="Arial"/>
        </w:rPr>
      </w:pPr>
      <w:bookmarkStart w:id="2" w:name="_Hlk205375091"/>
      <w:r w:rsidRPr="001C2BD3">
        <w:rPr>
          <w:rFonts w:ascii="Arial" w:hAnsi="Arial"/>
        </w:rPr>
        <w:t>Victoria, along with the rest of the world, is in the midst of a major energy transformation, with new energy technologies, n</w:t>
      </w:r>
      <w:r>
        <w:rPr>
          <w:rFonts w:ascii="Arial" w:hAnsi="Arial"/>
        </w:rPr>
        <w:t>e</w:t>
      </w:r>
      <w:r w:rsidRPr="001C2BD3">
        <w:rPr>
          <w:rFonts w:ascii="Arial" w:hAnsi="Arial"/>
        </w:rPr>
        <w:t xml:space="preserve">w industries, and new ways of doing things. The Victorian Government recognises this and the need for a modern energy system to support our economy and way of life – an energy system that is sustainable, reliable and affordable. </w:t>
      </w:r>
    </w:p>
    <w:bookmarkEnd w:id="2"/>
    <w:p w14:paraId="7F4E2BE2" w14:textId="77777777" w:rsidR="00854801" w:rsidRPr="001C2BD3" w:rsidRDefault="00854801" w:rsidP="00854801">
      <w:pPr>
        <w:spacing w:after="240" w:line="240" w:lineRule="auto"/>
        <w:jc w:val="both"/>
        <w:rPr>
          <w:rFonts w:ascii="Arial" w:hAnsi="Arial"/>
        </w:rPr>
      </w:pPr>
      <w:r w:rsidRPr="001C2BD3">
        <w:rPr>
          <w:rFonts w:ascii="Arial" w:hAnsi="Arial"/>
        </w:rPr>
        <w:t xml:space="preserve">The Energy Group plays a key role in supporting a significant transformation of the energy sector in Victoria. The Group’s primary responsibility is to support current and future energy projects, programs and reforms. The group consists of </w:t>
      </w:r>
      <w:r>
        <w:rPr>
          <w:rFonts w:ascii="Arial" w:hAnsi="Arial"/>
        </w:rPr>
        <w:t>five</w:t>
      </w:r>
      <w:r w:rsidRPr="001C2BD3">
        <w:rPr>
          <w:rFonts w:ascii="Arial" w:hAnsi="Arial"/>
        </w:rPr>
        <w:t xml:space="preserve"> divisions as follows: </w:t>
      </w:r>
    </w:p>
    <w:p w14:paraId="74F68219"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lastRenderedPageBreak/>
        <w:t xml:space="preserve">Consumer, Community and First Peoples' Energy Transition </w:t>
      </w:r>
    </w:p>
    <w:p w14:paraId="2FE9E2CF"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Electrification, Efficiency and Safety </w:t>
      </w:r>
    </w:p>
    <w:p w14:paraId="3AAEDE11"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Energy Transition and Strategy </w:t>
      </w:r>
    </w:p>
    <w:p w14:paraId="6189F4DC"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Innovation, Commercial and Investment Attraction </w:t>
      </w:r>
    </w:p>
    <w:p w14:paraId="04838F17"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Offshore Wind Energy Victoria </w:t>
      </w:r>
    </w:p>
    <w:p w14:paraId="46151FCD" w14:textId="77777777" w:rsidR="00854801" w:rsidRPr="00DA4A9A" w:rsidRDefault="00854801" w:rsidP="00854801">
      <w:pPr>
        <w:pStyle w:val="ListParagraph"/>
        <w:rPr>
          <w:rFonts w:ascii="Arial" w:hAnsi="Arial"/>
        </w:rPr>
      </w:pPr>
    </w:p>
    <w:p w14:paraId="3371C906" w14:textId="77777777" w:rsidR="00854801" w:rsidRPr="00F05B09" w:rsidRDefault="00854801" w:rsidP="00854801">
      <w:pPr>
        <w:rPr>
          <w:rFonts w:ascii="Arial" w:hAnsi="Arial"/>
        </w:rPr>
      </w:pPr>
      <w:r w:rsidRPr="00F05B09">
        <w:rPr>
          <w:rFonts w:ascii="Arial" w:hAnsi="Arial"/>
        </w:rPr>
        <w:t>Together, with the Office of the Deputy Secretary, these divisions enable the strategic work required to take place and set the Department up to undertake major energy transformations whilst continuing to deliver on existing priorities.   </w:t>
      </w:r>
    </w:p>
    <w:p w14:paraId="2F39C4F2" w14:textId="77777777" w:rsidR="00854801" w:rsidRPr="00104A81" w:rsidRDefault="00854801" w:rsidP="00854801">
      <w:pPr>
        <w:spacing w:after="240" w:line="240" w:lineRule="auto"/>
        <w:jc w:val="both"/>
        <w:rPr>
          <w:rFonts w:ascii="Arial" w:hAnsi="Arial"/>
          <w:b/>
          <w:bCs/>
          <w:i/>
          <w:iCs/>
        </w:rPr>
      </w:pPr>
      <w:r w:rsidRPr="00104A81">
        <w:rPr>
          <w:rFonts w:ascii="Arial" w:hAnsi="Arial"/>
          <w:b/>
          <w:bCs/>
          <w:i/>
          <w:iCs/>
        </w:rPr>
        <w:t>The Division</w:t>
      </w:r>
    </w:p>
    <w:p w14:paraId="5645429E" w14:textId="77777777" w:rsidR="00854801" w:rsidRDefault="00854801" w:rsidP="00854801">
      <w:pPr>
        <w:spacing w:after="240" w:line="240" w:lineRule="auto"/>
        <w:jc w:val="both"/>
        <w:rPr>
          <w:rFonts w:ascii="Arial" w:hAnsi="Arial"/>
        </w:rPr>
      </w:pPr>
      <w:r w:rsidRPr="00F81F5F">
        <w:rPr>
          <w:rFonts w:ascii="Arial" w:hAnsi="Arial"/>
        </w:rPr>
        <w:t>The Energy Transition and Strategy</w:t>
      </w:r>
      <w:r>
        <w:rPr>
          <w:rFonts w:ascii="Arial" w:hAnsi="Arial"/>
        </w:rPr>
        <w:t xml:space="preserve"> (ETS)</w:t>
      </w:r>
      <w:r w:rsidRPr="00F81F5F">
        <w:rPr>
          <w:rFonts w:ascii="Arial" w:hAnsi="Arial"/>
        </w:rPr>
        <w:t xml:space="preserve"> Division's focus is on ensuring an affordable transition to a renewable energy system while ensuring reliability and system security are maintained. The Division leads government energy policy development and advice on wholesale electricity and gas markets, renewable energy, integration of distributed energy resources and electric vehicles into the electricity system, and transmission and distribution networks. We lead the Victorian Government's contribution to national energy policy and stewardship of the laws and rules governing the National Energy Market and Australia's East Coast gas markets.</w:t>
      </w:r>
    </w:p>
    <w:p w14:paraId="3A1984E9" w14:textId="77777777" w:rsidR="00854801" w:rsidRPr="00104A81" w:rsidRDefault="00854801" w:rsidP="00854801">
      <w:pPr>
        <w:spacing w:after="240" w:line="240" w:lineRule="auto"/>
        <w:jc w:val="both"/>
        <w:rPr>
          <w:rFonts w:ascii="Arial" w:hAnsi="Arial"/>
          <w:b/>
          <w:bCs/>
          <w:i/>
          <w:iCs/>
        </w:rPr>
      </w:pPr>
      <w:r w:rsidRPr="00104A81">
        <w:rPr>
          <w:rFonts w:ascii="Arial" w:hAnsi="Arial"/>
          <w:b/>
          <w:bCs/>
          <w:i/>
          <w:iCs/>
        </w:rPr>
        <w:t>The Branch</w:t>
      </w:r>
    </w:p>
    <w:p w14:paraId="000CAC80" w14:textId="77777777" w:rsidR="00854801" w:rsidRDefault="00854801" w:rsidP="00854801">
      <w:pPr>
        <w:spacing w:after="240" w:line="240" w:lineRule="auto"/>
        <w:jc w:val="both"/>
        <w:rPr>
          <w:rFonts w:ascii="Arial" w:hAnsi="Arial"/>
        </w:rPr>
      </w:pPr>
      <w:r w:rsidRPr="00104A81">
        <w:rPr>
          <w:rFonts w:ascii="Arial" w:hAnsi="Arial"/>
        </w:rPr>
        <w:t>The role sits within the Energy Market Intelligence Unit (EMI</w:t>
      </w:r>
      <w:r>
        <w:rPr>
          <w:rFonts w:ascii="Arial" w:hAnsi="Arial"/>
        </w:rPr>
        <w:t>U</w:t>
      </w:r>
      <w:r w:rsidRPr="00104A81">
        <w:rPr>
          <w:rFonts w:ascii="Arial" w:hAnsi="Arial"/>
        </w:rPr>
        <w:t xml:space="preserve">) is an in-house quantitative and modelling team that supports the Energy Group and broader </w:t>
      </w:r>
      <w:r>
        <w:rPr>
          <w:rFonts w:ascii="Arial" w:hAnsi="Arial"/>
        </w:rPr>
        <w:t>DEECA</w:t>
      </w:r>
      <w:r w:rsidRPr="00104A81">
        <w:rPr>
          <w:rFonts w:ascii="Arial" w:hAnsi="Arial"/>
        </w:rPr>
        <w:t xml:space="preserve"> groups in the provision of quantitative advice to support policy. </w:t>
      </w:r>
    </w:p>
    <w:p w14:paraId="0142536A" w14:textId="77777777" w:rsidR="00854801" w:rsidRPr="008A3B6D" w:rsidRDefault="00854801" w:rsidP="00854801">
      <w:pPr>
        <w:spacing w:after="240" w:line="240" w:lineRule="auto"/>
        <w:jc w:val="both"/>
        <w:rPr>
          <w:rFonts w:ascii="Arial" w:hAnsi="Arial"/>
        </w:rPr>
      </w:pPr>
      <w:r w:rsidRPr="00F81F5F">
        <w:rPr>
          <w:rFonts w:ascii="Arial" w:hAnsi="Arial"/>
        </w:rPr>
        <w:t>EMIU provides sophisticated energy market modelling and quantitative analysis to the energy group and broader Victorian Government. EMIU maintains a suite of industry-standard modelling and analysis tools leveraging PLEXOS, NemSight, Power BI, and NEOpoint among others. In addition to undertaking modelling and analysis for the Energy Group, the team supports Energy Group personnel to evaluate proposals for, and results of, third-party modelling and provides training across the group</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1F41FF2" w14:textId="77777777" w:rsidR="00F072D4" w:rsidRPr="00BC7743" w:rsidRDefault="00F072D4" w:rsidP="00F072D4">
      <w:pPr>
        <w:rPr>
          <w:rFonts w:ascii="Arial" w:hAnsi="Arial"/>
          <w:b/>
          <w:bCs/>
        </w:rPr>
      </w:pPr>
      <w:r w:rsidRPr="00BC7743">
        <w:rPr>
          <w:rFonts w:ascii="Arial" w:hAnsi="Arial"/>
          <w:b/>
          <w:bCs/>
        </w:rPr>
        <w:t xml:space="preserve">Technical accountabilities: </w:t>
      </w:r>
    </w:p>
    <w:p w14:paraId="3D7A89D0" w14:textId="05181A5D" w:rsidR="00F072D4" w:rsidRPr="00BA5361" w:rsidRDefault="00F072D4" w:rsidP="00F072D4">
      <w:pPr>
        <w:pStyle w:val="ListParagraph"/>
        <w:numPr>
          <w:ilvl w:val="0"/>
          <w:numId w:val="45"/>
        </w:numPr>
        <w:spacing w:before="0"/>
        <w:rPr>
          <w:rFonts w:ascii="Arial" w:hAnsi="Arial"/>
        </w:rPr>
      </w:pPr>
      <w:r w:rsidRPr="00472890">
        <w:rPr>
          <w:rFonts w:ascii="Arial" w:hAnsi="Arial"/>
        </w:rPr>
        <w:t>Manage the development of an energy market modelling work program</w:t>
      </w:r>
      <w:r w:rsidR="00406F4F">
        <w:rPr>
          <w:rFonts w:ascii="Arial" w:hAnsi="Arial"/>
        </w:rPr>
        <w:t xml:space="preserve"> including the development of</w:t>
      </w:r>
      <w:r w:rsidR="00406F4F" w:rsidRPr="00FE2AC2">
        <w:rPr>
          <w:rFonts w:ascii="Arial" w:hAnsi="Arial"/>
        </w:rPr>
        <w:t xml:space="preserve"> </w:t>
      </w:r>
      <w:r w:rsidR="00406F4F">
        <w:rPr>
          <w:rFonts w:ascii="Arial" w:hAnsi="Arial"/>
        </w:rPr>
        <w:t>medium</w:t>
      </w:r>
      <w:r w:rsidR="00406F4F" w:rsidRPr="00FE2AC2">
        <w:rPr>
          <w:rFonts w:ascii="Arial" w:hAnsi="Arial"/>
        </w:rPr>
        <w:t>-term dispatch models and longer-term capacity expansion models</w:t>
      </w:r>
      <w:r w:rsidRPr="00472890">
        <w:rPr>
          <w:rFonts w:ascii="Arial" w:hAnsi="Arial"/>
        </w:rPr>
        <w:t xml:space="preserve">, </w:t>
      </w:r>
      <w:r>
        <w:rPr>
          <w:rFonts w:ascii="Arial" w:hAnsi="Arial"/>
        </w:rPr>
        <w:t xml:space="preserve">in close collaboration with </w:t>
      </w:r>
      <w:r w:rsidRPr="00BA5361">
        <w:rPr>
          <w:rFonts w:ascii="Arial" w:hAnsi="Arial"/>
        </w:rPr>
        <w:t>internal and external stakeholders</w:t>
      </w:r>
    </w:p>
    <w:p w14:paraId="78158D5C" w14:textId="63EF273A" w:rsidR="00F072D4" w:rsidRDefault="00F072D4" w:rsidP="50E4D885">
      <w:pPr>
        <w:numPr>
          <w:ilvl w:val="0"/>
          <w:numId w:val="45"/>
        </w:numPr>
        <w:spacing w:before="0" w:after="0"/>
        <w:rPr>
          <w:rFonts w:ascii="Arial" w:hAnsi="Arial"/>
        </w:rPr>
      </w:pPr>
      <w:r>
        <w:rPr>
          <w:rFonts w:ascii="Arial" w:hAnsi="Arial"/>
        </w:rPr>
        <w:t xml:space="preserve">Lead </w:t>
      </w:r>
      <w:r w:rsidRPr="00DB5D90">
        <w:rPr>
          <w:rFonts w:ascii="Arial" w:hAnsi="Arial"/>
        </w:rPr>
        <w:t>projects</w:t>
      </w:r>
      <w:r w:rsidR="0089365B">
        <w:rPr>
          <w:rFonts w:ascii="Arial" w:hAnsi="Arial"/>
        </w:rPr>
        <w:t xml:space="preserve">, </w:t>
      </w:r>
      <w:r w:rsidRPr="00DB5D90">
        <w:rPr>
          <w:rFonts w:ascii="Arial" w:hAnsi="Arial"/>
        </w:rPr>
        <w:t>energy market modelling studies</w:t>
      </w:r>
      <w:r>
        <w:rPr>
          <w:rFonts w:ascii="Arial" w:hAnsi="Arial"/>
        </w:rPr>
        <w:t xml:space="preserve">, </w:t>
      </w:r>
      <w:r w:rsidRPr="009669C1">
        <w:rPr>
          <w:rFonts w:ascii="Arial" w:hAnsi="Arial"/>
        </w:rPr>
        <w:t>analysis of energy market data from AEMO’s Market Management System (MMS) database as well as other</w:t>
      </w:r>
      <w:r>
        <w:rPr>
          <w:rFonts w:ascii="Arial" w:hAnsi="Arial"/>
        </w:rPr>
        <w:t xml:space="preserve"> </w:t>
      </w:r>
      <w:r w:rsidRPr="009669C1">
        <w:rPr>
          <w:rFonts w:ascii="Arial" w:hAnsi="Arial"/>
        </w:rPr>
        <w:t>large sets of data</w:t>
      </w:r>
      <w:r w:rsidR="00943198">
        <w:rPr>
          <w:rFonts w:ascii="Arial" w:hAnsi="Arial"/>
        </w:rPr>
        <w:t xml:space="preserve"> to inform key decisions</w:t>
      </w:r>
    </w:p>
    <w:p w14:paraId="6DDD0060" w14:textId="77777777" w:rsidR="00F072D4" w:rsidRPr="00BC7743" w:rsidRDefault="00F072D4" w:rsidP="00F072D4">
      <w:pPr>
        <w:rPr>
          <w:rFonts w:ascii="Arial" w:hAnsi="Arial"/>
          <w:b/>
          <w:bCs/>
          <w:lang w:val="en-GB"/>
        </w:rPr>
      </w:pPr>
      <w:r w:rsidRPr="00BC7743">
        <w:rPr>
          <w:rFonts w:ascii="Arial" w:hAnsi="Arial"/>
          <w:b/>
          <w:bCs/>
          <w:lang w:val="en-GB"/>
        </w:rPr>
        <w:t>Make sound judgements, including</w:t>
      </w:r>
    </w:p>
    <w:p w14:paraId="5AC32C67" w14:textId="4E0A39D9" w:rsidR="00F072D4" w:rsidRPr="004B4FD0" w:rsidRDefault="00F072D4" w:rsidP="009F33BB">
      <w:pPr>
        <w:pStyle w:val="ListParagraph"/>
        <w:numPr>
          <w:ilvl w:val="0"/>
          <w:numId w:val="45"/>
        </w:numPr>
        <w:spacing w:before="0"/>
        <w:rPr>
          <w:lang w:val="en-GB"/>
        </w:rPr>
      </w:pPr>
      <w:r w:rsidRPr="004B4FD0">
        <w:rPr>
          <w:rFonts w:ascii="Arial" w:hAnsi="Arial"/>
          <w:lang w:val="en-GB"/>
        </w:rPr>
        <w:t xml:space="preserve">Deliver strategic market insights that support the successful development and execution of </w:t>
      </w:r>
      <w:r>
        <w:rPr>
          <w:rFonts w:ascii="Arial" w:hAnsi="Arial"/>
          <w:lang w:val="en-GB"/>
        </w:rPr>
        <w:t>DEECA</w:t>
      </w:r>
      <w:r w:rsidRPr="004B4FD0">
        <w:rPr>
          <w:rFonts w:ascii="Arial" w:hAnsi="Arial"/>
          <w:lang w:val="en-GB"/>
        </w:rPr>
        <w:t xml:space="preserve"> strategy,</w:t>
      </w:r>
      <w:r w:rsidR="0049020D">
        <w:rPr>
          <w:rFonts w:ascii="Arial" w:hAnsi="Arial"/>
          <w:lang w:val="en-GB"/>
        </w:rPr>
        <w:t xml:space="preserve"> </w:t>
      </w:r>
      <w:r w:rsidRPr="004B4FD0">
        <w:rPr>
          <w:lang w:val="en-GB"/>
        </w:rPr>
        <w:t xml:space="preserve">the </w:t>
      </w:r>
      <w:r>
        <w:rPr>
          <w:lang w:val="en-GB"/>
        </w:rPr>
        <w:t>Victorian government energy road map</w:t>
      </w:r>
      <w:r w:rsidRPr="004B4FD0">
        <w:rPr>
          <w:lang w:val="en-GB"/>
        </w:rPr>
        <w:t xml:space="preserve"> and other strategic initiatives</w:t>
      </w:r>
    </w:p>
    <w:p w14:paraId="0C8B505A" w14:textId="77777777" w:rsidR="00F072D4" w:rsidRPr="004B4FD0" w:rsidRDefault="00F072D4" w:rsidP="00F072D4">
      <w:pPr>
        <w:pStyle w:val="ListParagraph"/>
        <w:numPr>
          <w:ilvl w:val="0"/>
          <w:numId w:val="45"/>
        </w:numPr>
        <w:spacing w:before="0"/>
        <w:rPr>
          <w:rFonts w:ascii="Arial" w:hAnsi="Arial"/>
        </w:rPr>
      </w:pPr>
      <w:r w:rsidRPr="004B4FD0">
        <w:rPr>
          <w:rFonts w:ascii="Arial" w:hAnsi="Arial"/>
          <w:lang w:val="en-GB"/>
        </w:rPr>
        <w:t xml:space="preserve">Make timely decisions under tight deadlines with </w:t>
      </w:r>
      <w:r>
        <w:rPr>
          <w:rFonts w:ascii="Arial" w:hAnsi="Arial"/>
          <w:lang w:val="en-GB"/>
        </w:rPr>
        <w:t>competing</w:t>
      </w:r>
      <w:r w:rsidRPr="004B4FD0">
        <w:rPr>
          <w:rFonts w:ascii="Arial" w:hAnsi="Arial"/>
          <w:lang w:val="en-GB"/>
        </w:rPr>
        <w:t xml:space="preserve"> priorities. This will require gathering the right information to make informed, appropriate decisions to ensure Program Delivery,</w:t>
      </w:r>
    </w:p>
    <w:p w14:paraId="3842DF83" w14:textId="0282071C" w:rsidR="00F072D4" w:rsidRDefault="00F072D4" w:rsidP="50E4D885">
      <w:pPr>
        <w:numPr>
          <w:ilvl w:val="0"/>
          <w:numId w:val="45"/>
        </w:numPr>
        <w:spacing w:before="0"/>
        <w:rPr>
          <w:rFonts w:ascii="Arial" w:hAnsi="Arial"/>
        </w:rPr>
      </w:pPr>
      <w:r w:rsidRPr="004B4FD0">
        <w:rPr>
          <w:rFonts w:ascii="Arial" w:hAnsi="Arial"/>
          <w:lang w:val="en-GB"/>
        </w:rPr>
        <w:t>Take responsibility for own work priorities to ensure accuracy, quality, value, and timeliness of work undertaken, contributing to and incorporating continuous improvement.</w:t>
      </w:r>
    </w:p>
    <w:p w14:paraId="7F09ECF4" w14:textId="7963E660" w:rsidR="00F072D4" w:rsidRDefault="00F072D4" w:rsidP="00F072D4">
      <w:pPr>
        <w:rPr>
          <w:rFonts w:ascii="Arial" w:hAnsi="Arial"/>
          <w:b/>
          <w:bCs/>
          <w:lang w:val="en-GB"/>
        </w:rPr>
      </w:pPr>
      <w:r w:rsidRPr="00815444">
        <w:rPr>
          <w:rFonts w:ascii="Arial" w:hAnsi="Arial"/>
          <w:b/>
          <w:bCs/>
          <w:lang w:val="en-GB"/>
        </w:rPr>
        <w:t>Manage multidimensional stakeholders and communications to support the success of the program.</w:t>
      </w:r>
    </w:p>
    <w:p w14:paraId="161F22ED" w14:textId="751CFE5C" w:rsidR="000109E9" w:rsidRPr="004B4FD0" w:rsidRDefault="000109E9" w:rsidP="000109E9">
      <w:pPr>
        <w:pStyle w:val="ListParagraph"/>
        <w:numPr>
          <w:ilvl w:val="0"/>
          <w:numId w:val="45"/>
        </w:numPr>
        <w:spacing w:before="0"/>
        <w:rPr>
          <w:rFonts w:ascii="Arial" w:hAnsi="Arial"/>
          <w:lang w:val="en-GB"/>
        </w:rPr>
      </w:pPr>
      <w:r w:rsidRPr="004B4FD0">
        <w:rPr>
          <w:rFonts w:ascii="Arial" w:hAnsi="Arial"/>
          <w:lang w:val="en-GB"/>
        </w:rPr>
        <w:t xml:space="preserve">Manage relationships with other key stakeholders, both internal and external to </w:t>
      </w:r>
      <w:r>
        <w:rPr>
          <w:rFonts w:ascii="Arial" w:hAnsi="Arial"/>
          <w:lang w:val="en-GB"/>
        </w:rPr>
        <w:t>DEECA</w:t>
      </w:r>
      <w:r w:rsidRPr="004B4FD0">
        <w:rPr>
          <w:rFonts w:ascii="Arial" w:hAnsi="Arial"/>
          <w:lang w:val="en-GB"/>
        </w:rPr>
        <w:t xml:space="preserve">, at all levels, from </w:t>
      </w:r>
      <w:r>
        <w:rPr>
          <w:rFonts w:ascii="Arial" w:hAnsi="Arial"/>
          <w:lang w:val="en-GB"/>
        </w:rPr>
        <w:t>executive level</w:t>
      </w:r>
      <w:r w:rsidRPr="004B4FD0">
        <w:rPr>
          <w:rFonts w:ascii="Arial" w:hAnsi="Arial"/>
          <w:lang w:val="en-GB"/>
        </w:rPr>
        <w:t xml:space="preserve"> to analyst</w:t>
      </w:r>
    </w:p>
    <w:p w14:paraId="7A5EB133" w14:textId="56A1F625" w:rsidR="00F072D4" w:rsidRDefault="00F072D4" w:rsidP="50E4D885">
      <w:pPr>
        <w:numPr>
          <w:ilvl w:val="0"/>
          <w:numId w:val="45"/>
        </w:numPr>
        <w:spacing w:before="0" w:after="0"/>
        <w:rPr>
          <w:rFonts w:ascii="Arial" w:hAnsi="Arial"/>
        </w:rPr>
      </w:pPr>
      <w:r w:rsidRPr="00472890">
        <w:rPr>
          <w:rFonts w:ascii="Arial" w:hAnsi="Arial"/>
        </w:rPr>
        <w:t xml:space="preserve">Drive the resolution of complex issues in a specialised function, including clearly communicating complex technical ideas to non-technical stakeholders, and drafting reports and providing recommendations on risks and issues. </w:t>
      </w:r>
    </w:p>
    <w:p w14:paraId="224FBF71" w14:textId="77777777" w:rsidR="00BB5F06" w:rsidRPr="00815444" w:rsidRDefault="00BB5F06" w:rsidP="00BB5F06">
      <w:pPr>
        <w:rPr>
          <w:rFonts w:ascii="Arial" w:hAnsi="Arial"/>
        </w:rPr>
      </w:pPr>
      <w:r w:rsidRPr="00815444">
        <w:rPr>
          <w:rFonts w:ascii="Arial" w:hAnsi="Arial"/>
          <w:b/>
          <w:bCs/>
          <w:lang w:val="en-GB"/>
        </w:rPr>
        <w:t xml:space="preserve">Deliver outcomes in a manner that supports all key strategic </w:t>
      </w:r>
      <w:r>
        <w:rPr>
          <w:rFonts w:ascii="Arial" w:hAnsi="Arial"/>
          <w:b/>
          <w:bCs/>
          <w:lang w:val="en-GB"/>
        </w:rPr>
        <w:t>DEECA</w:t>
      </w:r>
      <w:r w:rsidRPr="00815444">
        <w:rPr>
          <w:rFonts w:ascii="Arial" w:hAnsi="Arial"/>
          <w:b/>
          <w:bCs/>
          <w:lang w:val="en-GB"/>
        </w:rPr>
        <w:t xml:space="preserve"> activities, including:</w:t>
      </w:r>
    </w:p>
    <w:p w14:paraId="68702345" w14:textId="77777777" w:rsidR="00BB5F06" w:rsidRPr="00BC7743" w:rsidRDefault="00BB5F06" w:rsidP="00BB5F06">
      <w:pPr>
        <w:pStyle w:val="ListParagraph"/>
        <w:numPr>
          <w:ilvl w:val="0"/>
          <w:numId w:val="45"/>
        </w:numPr>
        <w:spacing w:before="0"/>
        <w:rPr>
          <w:rFonts w:ascii="Arial" w:hAnsi="Arial"/>
          <w:lang w:val="en-GB"/>
        </w:rPr>
      </w:pPr>
      <w:r w:rsidRPr="00BC7743">
        <w:rPr>
          <w:rFonts w:ascii="Arial" w:hAnsi="Arial"/>
          <w:lang w:val="en-GB"/>
        </w:rPr>
        <w:t xml:space="preserve">Highly visible proof points for the cultural elements of collaboration, innovation and achievement - showcase for how </w:t>
      </w:r>
      <w:r>
        <w:rPr>
          <w:rFonts w:ascii="Arial" w:hAnsi="Arial"/>
          <w:lang w:val="en-GB"/>
        </w:rPr>
        <w:t>DEECA</w:t>
      </w:r>
      <w:r w:rsidRPr="00BC7743">
        <w:rPr>
          <w:rFonts w:ascii="Arial" w:hAnsi="Arial"/>
          <w:lang w:val="en-GB"/>
        </w:rPr>
        <w:t xml:space="preserve"> wants to operate in the future, </w:t>
      </w:r>
    </w:p>
    <w:p w14:paraId="2CF6ED5C" w14:textId="038CA9CF" w:rsidR="0049020D" w:rsidRPr="00F56621" w:rsidRDefault="0049020D" w:rsidP="50E4D885">
      <w:pPr>
        <w:spacing w:before="0" w:after="0"/>
        <w:rPr>
          <w:rFonts w:ascii="Arial" w:hAnsi="Arial"/>
        </w:rPr>
      </w:pP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7195DD23" w14:textId="77777777" w:rsidR="00971658" w:rsidRDefault="00971658" w:rsidP="00971658">
      <w:pPr>
        <w:spacing w:before="160"/>
        <w:rPr>
          <w:rFonts w:ascii="Arial" w:hAnsi="Arial"/>
          <w:b/>
          <w:szCs w:val="22"/>
        </w:rPr>
      </w:pPr>
      <w:bookmarkStart w:id="3" w:name="_Hlk102550785"/>
      <w:r w:rsidRPr="001B1027">
        <w:rPr>
          <w:rFonts w:ascii="Arial" w:hAnsi="Arial"/>
          <w:b/>
          <w:szCs w:val="22"/>
        </w:rPr>
        <w:t>Specialist/Technical Expertise</w:t>
      </w:r>
      <w:r>
        <w:rPr>
          <w:rFonts w:ascii="Arial" w:hAnsi="Arial"/>
          <w:b/>
          <w:szCs w:val="22"/>
        </w:rPr>
        <w:t>/Qualifications</w:t>
      </w:r>
    </w:p>
    <w:p w14:paraId="3779D202" w14:textId="77777777" w:rsidR="00971658" w:rsidRPr="00F05B09" w:rsidRDefault="00971658" w:rsidP="00971658">
      <w:pPr>
        <w:pStyle w:val="ListParagraph"/>
        <w:numPr>
          <w:ilvl w:val="0"/>
          <w:numId w:val="45"/>
        </w:numPr>
        <w:spacing w:before="0" w:after="0"/>
        <w:rPr>
          <w:rFonts w:ascii="Arial" w:hAnsi="Arial"/>
        </w:rPr>
      </w:pPr>
      <w:r w:rsidRPr="00F05B09">
        <w:rPr>
          <w:rFonts w:ascii="Arial" w:hAnsi="Arial"/>
        </w:rPr>
        <w:t>Bachelor, honours, or advanced degree such as data science, statistics, mathematics or other highly quantitative degree</w:t>
      </w:r>
    </w:p>
    <w:p w14:paraId="0F237781" w14:textId="39EB15C8" w:rsidR="003B35AD" w:rsidRDefault="003B35AD" w:rsidP="00971658">
      <w:pPr>
        <w:pStyle w:val="ListParagraph"/>
        <w:numPr>
          <w:ilvl w:val="0"/>
          <w:numId w:val="45"/>
        </w:numPr>
        <w:spacing w:before="0" w:after="0"/>
        <w:rPr>
          <w:rFonts w:ascii="Arial" w:hAnsi="Arial"/>
        </w:rPr>
      </w:pPr>
      <w:r w:rsidRPr="003B35AD">
        <w:rPr>
          <w:rFonts w:ascii="Arial" w:hAnsi="Arial"/>
        </w:rPr>
        <w:t xml:space="preserve">Demonstrated in-depth understanding of energy market </w:t>
      </w:r>
      <w:r w:rsidR="00971658" w:rsidRPr="00B447AF" w:rsidDel="003B35AD">
        <w:rPr>
          <w:rFonts w:ascii="Arial" w:hAnsi="Arial"/>
        </w:rPr>
        <w:t>dynamics</w:t>
      </w:r>
    </w:p>
    <w:p w14:paraId="0F3D3C5A" w14:textId="77777777" w:rsidR="00971658" w:rsidRPr="000414A5" w:rsidRDefault="00971658" w:rsidP="00971658">
      <w:pPr>
        <w:pStyle w:val="ListParagraph"/>
        <w:numPr>
          <w:ilvl w:val="0"/>
          <w:numId w:val="45"/>
        </w:numPr>
        <w:spacing w:before="0"/>
      </w:pPr>
      <w:r>
        <w:rPr>
          <w:rFonts w:ascii="Arial" w:hAnsi="Arial"/>
        </w:rPr>
        <w:t>High-level f</w:t>
      </w:r>
      <w:r w:rsidRPr="00BA5361">
        <w:rPr>
          <w:rFonts w:ascii="Arial" w:hAnsi="Arial"/>
        </w:rPr>
        <w:t>amiliarity with energy market modelling software such PLEXOS or Prophet</w:t>
      </w:r>
    </w:p>
    <w:p w14:paraId="3B40FBB9" w14:textId="77777777" w:rsidR="00971658" w:rsidRPr="00EB45C0" w:rsidRDefault="00971658" w:rsidP="00971658">
      <w:pPr>
        <w:pStyle w:val="ListParagraph"/>
        <w:numPr>
          <w:ilvl w:val="0"/>
          <w:numId w:val="45"/>
        </w:numPr>
        <w:spacing w:before="0"/>
      </w:pPr>
      <w:r w:rsidRPr="000414A5">
        <w:rPr>
          <w:rFonts w:ascii="Arial" w:hAnsi="Arial"/>
        </w:rPr>
        <w:t>Expert ability in a programming language used in the development of quantitative analysis, machine learning models and energy market models (e.g., R or Python)</w:t>
      </w:r>
    </w:p>
    <w:p w14:paraId="4705B66F" w14:textId="77777777" w:rsidR="00971658" w:rsidRPr="00C95F41" w:rsidRDefault="00971658" w:rsidP="00971658">
      <w:pPr>
        <w:rPr>
          <w:rFonts w:ascii="Arial" w:hAnsi="Arial"/>
          <w:szCs w:val="22"/>
        </w:rPr>
      </w:pPr>
      <w:r w:rsidRPr="00C95F41">
        <w:rPr>
          <w:rFonts w:ascii="Arial" w:hAnsi="Arial"/>
          <w:b/>
          <w:bCs/>
          <w:szCs w:val="22"/>
        </w:rPr>
        <w:t>Experience</w:t>
      </w:r>
    </w:p>
    <w:p w14:paraId="41348C14" w14:textId="77777777" w:rsidR="00971658" w:rsidRPr="00DA2577" w:rsidRDefault="00971658" w:rsidP="00971658">
      <w:pPr>
        <w:pStyle w:val="ListParagraph"/>
        <w:numPr>
          <w:ilvl w:val="0"/>
          <w:numId w:val="45"/>
        </w:numPr>
        <w:spacing w:before="0"/>
        <w:rPr>
          <w:rFonts w:ascii="Arial" w:hAnsi="Arial"/>
        </w:rPr>
      </w:pPr>
      <w:r w:rsidRPr="00BC7743">
        <w:rPr>
          <w:rFonts w:ascii="Arial" w:hAnsi="Arial"/>
        </w:rPr>
        <w:t>Strong experience in preparing and</w:t>
      </w:r>
      <w:r>
        <w:rPr>
          <w:rFonts w:ascii="Arial" w:hAnsi="Arial"/>
        </w:rPr>
        <w:t xml:space="preserve"> executing</w:t>
      </w:r>
      <w:r w:rsidRPr="00BC7743">
        <w:rPr>
          <w:rFonts w:ascii="Arial" w:hAnsi="Arial"/>
        </w:rPr>
        <w:t xml:space="preserve"> investment cases,</w:t>
      </w:r>
    </w:p>
    <w:p w14:paraId="17EEA73F" w14:textId="77777777" w:rsidR="00971658" w:rsidRPr="00DA2577" w:rsidRDefault="00971658" w:rsidP="00971658">
      <w:pPr>
        <w:pStyle w:val="ListParagraph"/>
        <w:numPr>
          <w:ilvl w:val="0"/>
          <w:numId w:val="45"/>
        </w:numPr>
        <w:spacing w:before="0"/>
        <w:rPr>
          <w:rFonts w:ascii="Arial" w:hAnsi="Arial"/>
        </w:rPr>
      </w:pPr>
      <w:r w:rsidRPr="00BC7743">
        <w:rPr>
          <w:rFonts w:ascii="Arial" w:hAnsi="Arial"/>
        </w:rPr>
        <w:t>Extensive experience in market focussed analytical applications,</w:t>
      </w:r>
    </w:p>
    <w:p w14:paraId="3992D668" w14:textId="77777777" w:rsidR="00971658" w:rsidRPr="00DA2577" w:rsidRDefault="00971658" w:rsidP="00971658">
      <w:pPr>
        <w:pStyle w:val="ListParagraph"/>
        <w:numPr>
          <w:ilvl w:val="0"/>
          <w:numId w:val="45"/>
        </w:numPr>
        <w:spacing w:before="0"/>
        <w:rPr>
          <w:rFonts w:ascii="Arial" w:hAnsi="Arial"/>
        </w:rPr>
      </w:pPr>
      <w:r w:rsidRPr="00BC7743">
        <w:rPr>
          <w:rFonts w:ascii="Arial" w:hAnsi="Arial"/>
        </w:rPr>
        <w:t>Demonstrated experience in managing multi-disciplinary teams in a highly uncertain and adaptive environment,</w:t>
      </w:r>
    </w:p>
    <w:p w14:paraId="5138284D" w14:textId="77777777" w:rsidR="00971658" w:rsidRPr="00465FED" w:rsidRDefault="00971658" w:rsidP="00971658">
      <w:pPr>
        <w:pStyle w:val="ListParagraph"/>
        <w:numPr>
          <w:ilvl w:val="0"/>
          <w:numId w:val="45"/>
        </w:numPr>
        <w:spacing w:before="0"/>
        <w:rPr>
          <w:rFonts w:ascii="Arial" w:hAnsi="Arial"/>
        </w:rPr>
      </w:pPr>
      <w:r w:rsidRPr="00BC7743">
        <w:rPr>
          <w:rFonts w:ascii="Arial" w:hAnsi="Arial"/>
        </w:rPr>
        <w:t>Experience in managing work in an environment with strong political involvement, and</w:t>
      </w:r>
      <w:r>
        <w:rPr>
          <w:rFonts w:ascii="Arial" w:hAnsi="Arial"/>
        </w:rPr>
        <w:t xml:space="preserve"> d</w:t>
      </w:r>
      <w:r w:rsidRPr="00465FED">
        <w:rPr>
          <w:rFonts w:ascii="Arial" w:hAnsi="Arial"/>
        </w:rPr>
        <w:t>emonstrated understanding of and experience in cultivating thought leadership</w:t>
      </w:r>
    </w:p>
    <w:p w14:paraId="62DD3F46" w14:textId="77777777" w:rsidR="00971658" w:rsidRPr="001B1027" w:rsidRDefault="00971658" w:rsidP="00971658">
      <w:pPr>
        <w:spacing w:before="160"/>
        <w:rPr>
          <w:rFonts w:ascii="Arial" w:hAnsi="Arial"/>
          <w:b/>
        </w:rPr>
      </w:pPr>
      <w:r w:rsidRPr="59CDF50F">
        <w:rPr>
          <w:rFonts w:ascii="Arial" w:hAnsi="Arial"/>
          <w:b/>
        </w:rPr>
        <w:t>Capabilities</w:t>
      </w:r>
    </w:p>
    <w:p w14:paraId="23B8637B" w14:textId="54BD25EB" w:rsidR="00971658" w:rsidRPr="00F05B09" w:rsidRDefault="00971658" w:rsidP="00971658">
      <w:pPr>
        <w:pStyle w:val="ListParagraph"/>
        <w:numPr>
          <w:ilvl w:val="0"/>
          <w:numId w:val="45"/>
        </w:numPr>
        <w:spacing w:before="0" w:after="0"/>
        <w:rPr>
          <w:rFonts w:ascii="Arial" w:hAnsi="Arial"/>
        </w:rPr>
      </w:pPr>
      <w:r w:rsidRPr="00F05B09">
        <w:rPr>
          <w:rFonts w:ascii="Arial" w:hAnsi="Arial"/>
          <w:b/>
          <w:bCs/>
        </w:rPr>
        <w:t>Data Literacy</w:t>
      </w:r>
      <w:r w:rsidRPr="00F05B09">
        <w:rPr>
          <w:rFonts w:ascii="Arial" w:hAnsi="Arial"/>
        </w:rPr>
        <w:t xml:space="preserve"> – </w:t>
      </w:r>
      <w:r w:rsidR="00D01623" w:rsidRPr="00D01623">
        <w:rPr>
          <w:rFonts w:ascii="Arial" w:hAnsi="Arial"/>
        </w:rPr>
        <w:t>Has formal credentials and/or qualifications related to data science, mathematics, actuary, statistic or related fields. Is regarded as a thought leader and may be involved in building</w:t>
      </w:r>
      <w:r w:rsidR="0E7A03C9" w:rsidRPr="3D8A86B9">
        <w:rPr>
          <w:rFonts w:ascii="Arial" w:hAnsi="Arial"/>
        </w:rPr>
        <w:t>.</w:t>
      </w:r>
    </w:p>
    <w:p w14:paraId="474242F6" w14:textId="77777777" w:rsidR="008918E1" w:rsidRDefault="00971658" w:rsidP="009A3E3A">
      <w:pPr>
        <w:pStyle w:val="ListParagraph"/>
        <w:numPr>
          <w:ilvl w:val="0"/>
          <w:numId w:val="45"/>
        </w:numPr>
        <w:spacing w:before="0" w:after="0"/>
        <w:rPr>
          <w:rFonts w:ascii="Arial" w:hAnsi="Arial"/>
        </w:rPr>
      </w:pPr>
      <w:r w:rsidRPr="00A41887">
        <w:rPr>
          <w:rFonts w:ascii="Arial" w:hAnsi="Arial"/>
          <w:b/>
          <w:bCs/>
        </w:rPr>
        <w:t>Critical Thinking and Problem Solving</w:t>
      </w:r>
      <w:r w:rsidRPr="00A41887">
        <w:rPr>
          <w:rFonts w:ascii="Arial" w:hAnsi="Arial"/>
        </w:rPr>
        <w:t xml:space="preserve"> – </w:t>
      </w:r>
      <w:r w:rsidR="00A41887" w:rsidRPr="00A41887">
        <w:rPr>
          <w:rFonts w:ascii="Arial" w:hAnsi="Arial"/>
        </w:rPr>
        <w:t>Considers a broad range of topics (beyond immediate area of work), works across government and at senior levels to develop and deliver sustainable solutions.</w:t>
      </w:r>
    </w:p>
    <w:p w14:paraId="00FFBC21" w14:textId="72314703" w:rsidR="008918E1" w:rsidRPr="00A41887" w:rsidRDefault="00971658">
      <w:pPr>
        <w:pStyle w:val="ListParagraph"/>
        <w:numPr>
          <w:ilvl w:val="0"/>
          <w:numId w:val="45"/>
        </w:numPr>
        <w:spacing w:before="0" w:after="0"/>
        <w:rPr>
          <w:rFonts w:ascii="Arial" w:hAnsi="Arial"/>
        </w:rPr>
      </w:pPr>
      <w:r w:rsidRPr="0024027A">
        <w:rPr>
          <w:rFonts w:ascii="Arial" w:hAnsi="Arial"/>
          <w:b/>
          <w:bCs/>
        </w:rPr>
        <w:t>Project Delivery</w:t>
      </w:r>
      <w:r w:rsidRPr="0024027A" w:rsidDel="00F85531">
        <w:rPr>
          <w:rFonts w:ascii="Arial" w:hAnsi="Arial"/>
        </w:rPr>
        <w:t xml:space="preserve"> </w:t>
      </w:r>
      <w:r w:rsidRPr="0024027A">
        <w:rPr>
          <w:rFonts w:ascii="Arial" w:hAnsi="Arial"/>
        </w:rPr>
        <w:t xml:space="preserve">– </w:t>
      </w:r>
      <w:r w:rsidR="0024027A">
        <w:rPr>
          <w:rFonts w:ascii="Arial" w:hAnsi="Arial"/>
        </w:rPr>
        <w:t>I</w:t>
      </w:r>
      <w:r w:rsidR="0024027A" w:rsidRPr="0024027A">
        <w:rPr>
          <w:rFonts w:ascii="Arial" w:hAnsi="Arial"/>
        </w:rPr>
        <w:t>s regarded as a thought leader in project management; Considers historical, political and broader context to inform project direction and mitigate risk; Engage key stakeholders at senior levels; Balances the needs of clients, team, and the organisation.</w:t>
      </w:r>
    </w:p>
    <w:p w14:paraId="61CC39B4" w14:textId="3D5E8F44" w:rsidR="00495B3B" w:rsidRPr="003329E9" w:rsidRDefault="00971658" w:rsidP="50E4D885">
      <w:pPr>
        <w:pStyle w:val="ListParagraph"/>
        <w:numPr>
          <w:ilvl w:val="0"/>
          <w:numId w:val="45"/>
        </w:numPr>
        <w:spacing w:before="0" w:after="0"/>
        <w:rPr>
          <w:rFonts w:ascii="Arial" w:hAnsi="Arial"/>
        </w:rPr>
      </w:pPr>
      <w:r w:rsidRPr="003329E9">
        <w:rPr>
          <w:rFonts w:ascii="Arial" w:hAnsi="Arial"/>
          <w:b/>
          <w:bCs/>
        </w:rPr>
        <w:t>Communicate with Impact</w:t>
      </w:r>
      <w:r w:rsidRPr="003329E9">
        <w:rPr>
          <w:rFonts w:ascii="Arial" w:hAnsi="Arial"/>
        </w:rPr>
        <w:t xml:space="preserve"> </w:t>
      </w:r>
      <w:r w:rsidR="003329E9" w:rsidRPr="003329E9">
        <w:rPr>
          <w:rFonts w:ascii="Arial" w:hAnsi="Arial"/>
        </w:rPr>
        <w:t>Identifies key messages &amp; information required for decision-making; Provides high level advice on influencing and the needs of target audiences; Provides advice on the content and style appropriate to the audience</w:t>
      </w:r>
      <w:r w:rsidR="003329E9" w:rsidRPr="50E4D885">
        <w:rPr>
          <w:rFonts w:ascii="Arial" w:hAnsi="Arial"/>
        </w:rPr>
        <w:t>.</w:t>
      </w:r>
    </w:p>
    <w:p w14:paraId="0E84D3F6" w14:textId="77777777" w:rsidR="00971658" w:rsidRDefault="00971658" w:rsidP="00495B3B">
      <w:pPr>
        <w:keepNext/>
        <w:spacing w:before="0" w:after="0" w:line="240" w:lineRule="auto"/>
        <w:rPr>
          <w:rFonts w:ascii="Arial" w:hAnsi="Arial" w:cs="Arial"/>
          <w:b/>
          <w:color w:val="363534"/>
          <w:szCs w:val="22"/>
        </w:rPr>
      </w:pPr>
    </w:p>
    <w:p w14:paraId="46C51E37" w14:textId="77777777" w:rsidR="00971658" w:rsidRPr="00495B3B" w:rsidRDefault="00971658"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7702F9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2331AA">
              <w:rPr>
                <w:rFonts w:cs="Arial"/>
                <w:color w:val="1A1A1A"/>
                <w:sz w:val="20"/>
              </w:rPr>
              <w:t xml:space="preserve">NA </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208D32D2" w:rsidR="00495B3B" w:rsidRPr="002331AA" w:rsidRDefault="00495B3B" w:rsidP="002331AA">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14860FCE" w:rsidR="00495B3B" w:rsidRPr="00495B3B" w:rsidRDefault="00495B3B" w:rsidP="002331AA">
            <w:pPr>
              <w:tabs>
                <w:tab w:val="left" w:pos="2500"/>
              </w:tabs>
              <w:ind w:left="0"/>
              <w:rPr>
                <w:rFonts w:ascii="Arial" w:hAnsi="Arial" w:cs="Arial"/>
                <w:sz w:val="20"/>
              </w:rPr>
            </w:pP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6BED9550" w:rsidR="00495B3B" w:rsidRPr="00495B3B" w:rsidRDefault="00495B3B" w:rsidP="002331AA">
            <w:pPr>
              <w:ind w:left="0"/>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3"/>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7777777" w:rsidR="00C8238F" w:rsidRPr="00AC1638" w:rsidRDefault="00C8238F" w:rsidP="684BFFD3">
      <w:pPr>
        <w:keepNext/>
        <w:spacing w:before="0" w:line="240" w:lineRule="auto"/>
        <w:rPr>
          <w:rFonts w:ascii="Arial" w:eastAsia="Microsoft JhengHei" w:hAnsi="Arial"/>
          <w:color w:val="442D97"/>
          <w:sz w:val="28"/>
          <w:szCs w:val="28"/>
        </w:rPr>
      </w:pPr>
      <w:r w:rsidRPr="684BFFD3">
        <w:rPr>
          <w:rFonts w:ascii="Arial" w:eastAsia="Microsoft JhengHei" w:hAnsi="Arial"/>
          <w:color w:val="442D97" w:themeColor="accent4" w:themeTint="BF"/>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A4A5264" w14:textId="2094314D" w:rsidR="0C3B78C1" w:rsidRPr="00DF3353" w:rsidRDefault="00495B3B" w:rsidP="00DF3353">
      <w:pPr>
        <w:spacing w:before="0" w:after="0"/>
        <w:rPr>
          <w:rFonts w:ascii="Arial" w:hAnsi="Arial" w:cs="Arial"/>
          <w:color w:val="363534"/>
          <w:szCs w:val="22"/>
        </w:rPr>
      </w:pPr>
      <w:r w:rsidRPr="0C3B78C1">
        <w:rPr>
          <w:rFonts w:ascii="Arial" w:eastAsia="Calibri" w:hAnsi="Arial" w:cs="Arial"/>
          <w:color w:val="363534"/>
        </w:rPr>
        <w:t xml:space="preserve">DEECA </w:t>
      </w:r>
      <w:r w:rsidRPr="0C3B78C1">
        <w:rPr>
          <w:rFonts w:ascii="Arial" w:hAnsi="Arial" w:cs="Arial"/>
          <w:color w:val="363534"/>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50BB8E89" w:rsidR="00A14A3F" w:rsidRDefault="00A14A3F" w:rsidP="50E4D885">
      <w:pPr>
        <w:jc w:val="center"/>
        <w:rPr>
          <w:highlight w:val="yellow"/>
        </w:rPr>
      </w:pPr>
    </w:p>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63BD" w14:textId="77777777" w:rsidR="00F95F38" w:rsidRDefault="00F95F38" w:rsidP="00CD157B">
      <w:pPr>
        <w:pStyle w:val="NoSpacing"/>
      </w:pPr>
    </w:p>
    <w:p w14:paraId="678029CB" w14:textId="77777777" w:rsidR="00F95F38" w:rsidRDefault="00F95F38"/>
  </w:endnote>
  <w:endnote w:type="continuationSeparator" w:id="0">
    <w:p w14:paraId="5F40AB30" w14:textId="77777777" w:rsidR="00F95F38" w:rsidRDefault="00F95F38" w:rsidP="00CD157B">
      <w:pPr>
        <w:pStyle w:val="NoSpacing"/>
      </w:pPr>
    </w:p>
    <w:p w14:paraId="4EF43E22" w14:textId="77777777" w:rsidR="00F95F38" w:rsidRDefault="00F95F38"/>
  </w:endnote>
  <w:endnote w:type="continuationNotice" w:id="1">
    <w:p w14:paraId="2B9CC6A6" w14:textId="77777777" w:rsidR="00F95F38" w:rsidRDefault="00F95F38" w:rsidP="00CD157B">
      <w:pPr>
        <w:pStyle w:val="NoSpacing"/>
      </w:pPr>
    </w:p>
    <w:p w14:paraId="387D8CB9" w14:textId="77777777" w:rsidR="00F95F38" w:rsidRDefault="00F95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9C71" w14:textId="77777777" w:rsidR="00F95F38" w:rsidRPr="0056073C" w:rsidRDefault="00F95F38" w:rsidP="005D764F">
      <w:pPr>
        <w:pStyle w:val="FootnoteSeparator"/>
      </w:pPr>
    </w:p>
    <w:p w14:paraId="185859C5" w14:textId="77777777" w:rsidR="00F95F38" w:rsidRDefault="00F95F38"/>
  </w:footnote>
  <w:footnote w:type="continuationSeparator" w:id="0">
    <w:p w14:paraId="7C1EEB77" w14:textId="77777777" w:rsidR="00F95F38" w:rsidRPr="00CA30B7" w:rsidRDefault="00F95F38" w:rsidP="006D5A90">
      <w:pPr>
        <w:rPr>
          <w:lang w:val="en-US"/>
        </w:rPr>
      </w:pPr>
      <w:r w:rsidRPr="00CA30B7">
        <w:rPr>
          <w:lang w:val="en-US"/>
        </w:rPr>
        <w:t>_______</w:t>
      </w:r>
    </w:p>
    <w:p w14:paraId="493C3AA7" w14:textId="77777777" w:rsidR="00F95F38" w:rsidRDefault="00F95F38"/>
  </w:footnote>
  <w:footnote w:type="continuationNotice" w:id="1">
    <w:p w14:paraId="537ABFB1" w14:textId="77777777" w:rsidR="00F95F38" w:rsidRDefault="00F95F38" w:rsidP="006D5A90"/>
    <w:p w14:paraId="2718CE62" w14:textId="77777777" w:rsidR="00F95F38" w:rsidRDefault="00F95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DAEECA"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061551"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4C4802"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BEE7FC"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7B0C55"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BEF49B"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AD8057"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1AA841"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CBDD49"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F5476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72C2D5"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849AAC"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770281E"/>
    <w:multiLevelType w:val="hybridMultilevel"/>
    <w:tmpl w:val="DE1C8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3"/>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840435997">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09E9"/>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E9C"/>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A2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4C4"/>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916"/>
    <w:rsid w:val="00053C58"/>
    <w:rsid w:val="00053CC3"/>
    <w:rsid w:val="0005462A"/>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A35"/>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C7C53"/>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3FEE"/>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721"/>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352"/>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9AD"/>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1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CB2"/>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2EF"/>
    <w:rsid w:val="0020269C"/>
    <w:rsid w:val="0020272B"/>
    <w:rsid w:val="00202D57"/>
    <w:rsid w:val="00202F7A"/>
    <w:rsid w:val="0020352B"/>
    <w:rsid w:val="002042D5"/>
    <w:rsid w:val="002047FF"/>
    <w:rsid w:val="002048EC"/>
    <w:rsid w:val="0020496E"/>
    <w:rsid w:val="00204B9C"/>
    <w:rsid w:val="00204C72"/>
    <w:rsid w:val="00204E23"/>
    <w:rsid w:val="002050A7"/>
    <w:rsid w:val="00205B11"/>
    <w:rsid w:val="00205EB5"/>
    <w:rsid w:val="002062AB"/>
    <w:rsid w:val="002067B9"/>
    <w:rsid w:val="00206D77"/>
    <w:rsid w:val="00206E8D"/>
    <w:rsid w:val="002071C2"/>
    <w:rsid w:val="00207596"/>
    <w:rsid w:val="00207E74"/>
    <w:rsid w:val="00210137"/>
    <w:rsid w:val="00210B5C"/>
    <w:rsid w:val="00210C96"/>
    <w:rsid w:val="00210D2E"/>
    <w:rsid w:val="00210EB9"/>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1AA"/>
    <w:rsid w:val="002335AF"/>
    <w:rsid w:val="002339EF"/>
    <w:rsid w:val="00233B50"/>
    <w:rsid w:val="00233D6B"/>
    <w:rsid w:val="0023491A"/>
    <w:rsid w:val="00235122"/>
    <w:rsid w:val="002353F9"/>
    <w:rsid w:val="00235711"/>
    <w:rsid w:val="00235C2B"/>
    <w:rsid w:val="0023624D"/>
    <w:rsid w:val="00236F82"/>
    <w:rsid w:val="002373DE"/>
    <w:rsid w:val="0024027A"/>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BD2"/>
    <w:rsid w:val="00253C6D"/>
    <w:rsid w:val="0025402C"/>
    <w:rsid w:val="00254F12"/>
    <w:rsid w:val="00254FFC"/>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7FE"/>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5B37"/>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7DA"/>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362"/>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8FC"/>
    <w:rsid w:val="002D7AA5"/>
    <w:rsid w:val="002E03B0"/>
    <w:rsid w:val="002E0ED2"/>
    <w:rsid w:val="002E1116"/>
    <w:rsid w:val="002E1D9E"/>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37FD"/>
    <w:rsid w:val="002F41ED"/>
    <w:rsid w:val="002F4C0A"/>
    <w:rsid w:val="002F5105"/>
    <w:rsid w:val="002F5718"/>
    <w:rsid w:val="002F647B"/>
    <w:rsid w:val="002F7E61"/>
    <w:rsid w:val="002F7E8B"/>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2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12"/>
    <w:rsid w:val="00330D46"/>
    <w:rsid w:val="00330F1F"/>
    <w:rsid w:val="00331625"/>
    <w:rsid w:val="00331931"/>
    <w:rsid w:val="00331C3A"/>
    <w:rsid w:val="003329E9"/>
    <w:rsid w:val="00332F2C"/>
    <w:rsid w:val="00332F2F"/>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535"/>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5AD"/>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56B"/>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8C1"/>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143"/>
    <w:rsid w:val="0040698A"/>
    <w:rsid w:val="00406F4F"/>
    <w:rsid w:val="0040743E"/>
    <w:rsid w:val="004075D4"/>
    <w:rsid w:val="0040777B"/>
    <w:rsid w:val="00407885"/>
    <w:rsid w:val="004100F3"/>
    <w:rsid w:val="00410659"/>
    <w:rsid w:val="00411642"/>
    <w:rsid w:val="00411972"/>
    <w:rsid w:val="00412A85"/>
    <w:rsid w:val="00412D37"/>
    <w:rsid w:val="00413AAE"/>
    <w:rsid w:val="00414C7D"/>
    <w:rsid w:val="00414F4F"/>
    <w:rsid w:val="0041567B"/>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29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0E6F"/>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3E1"/>
    <w:rsid w:val="004874B9"/>
    <w:rsid w:val="00487817"/>
    <w:rsid w:val="00487A04"/>
    <w:rsid w:val="00487B4F"/>
    <w:rsid w:val="00487C2C"/>
    <w:rsid w:val="0049020D"/>
    <w:rsid w:val="004902CA"/>
    <w:rsid w:val="00490510"/>
    <w:rsid w:val="00490907"/>
    <w:rsid w:val="00490C15"/>
    <w:rsid w:val="00490C8A"/>
    <w:rsid w:val="004918EE"/>
    <w:rsid w:val="00492DE1"/>
    <w:rsid w:val="00493124"/>
    <w:rsid w:val="0049351D"/>
    <w:rsid w:val="00493F24"/>
    <w:rsid w:val="00494252"/>
    <w:rsid w:val="004944B4"/>
    <w:rsid w:val="00494963"/>
    <w:rsid w:val="004949AA"/>
    <w:rsid w:val="00494D37"/>
    <w:rsid w:val="00494F94"/>
    <w:rsid w:val="0049521F"/>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243"/>
    <w:rsid w:val="004B1B8B"/>
    <w:rsid w:val="004B1E98"/>
    <w:rsid w:val="004B218D"/>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357"/>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3F18"/>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1F06"/>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3C9"/>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72A"/>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9A6"/>
    <w:rsid w:val="00637C68"/>
    <w:rsid w:val="00637E93"/>
    <w:rsid w:val="00637F16"/>
    <w:rsid w:val="006404EF"/>
    <w:rsid w:val="00640F20"/>
    <w:rsid w:val="00641ED0"/>
    <w:rsid w:val="00641F15"/>
    <w:rsid w:val="0064251E"/>
    <w:rsid w:val="00642A82"/>
    <w:rsid w:val="00642C8C"/>
    <w:rsid w:val="00642FE5"/>
    <w:rsid w:val="006446C2"/>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EDF"/>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6A12"/>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3B"/>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5B95"/>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077"/>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CE2"/>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BBA"/>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461"/>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0E98"/>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8FD"/>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801"/>
    <w:rsid w:val="00854A0F"/>
    <w:rsid w:val="00854B2A"/>
    <w:rsid w:val="0085577A"/>
    <w:rsid w:val="00856573"/>
    <w:rsid w:val="008565AA"/>
    <w:rsid w:val="00857361"/>
    <w:rsid w:val="008579CB"/>
    <w:rsid w:val="0086023E"/>
    <w:rsid w:val="00860DDF"/>
    <w:rsid w:val="0086172F"/>
    <w:rsid w:val="00861EA4"/>
    <w:rsid w:val="00861EEB"/>
    <w:rsid w:val="00862057"/>
    <w:rsid w:val="008624EC"/>
    <w:rsid w:val="008625C9"/>
    <w:rsid w:val="00864874"/>
    <w:rsid w:val="0086499C"/>
    <w:rsid w:val="00864D16"/>
    <w:rsid w:val="00864EF0"/>
    <w:rsid w:val="0086570D"/>
    <w:rsid w:val="00865D0F"/>
    <w:rsid w:val="008661B2"/>
    <w:rsid w:val="00866DAF"/>
    <w:rsid w:val="00866EA2"/>
    <w:rsid w:val="0086785A"/>
    <w:rsid w:val="00867BC6"/>
    <w:rsid w:val="00867CE4"/>
    <w:rsid w:val="00867D73"/>
    <w:rsid w:val="00867EFE"/>
    <w:rsid w:val="0087004D"/>
    <w:rsid w:val="00870214"/>
    <w:rsid w:val="00870358"/>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CBA"/>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18E1"/>
    <w:rsid w:val="008920BD"/>
    <w:rsid w:val="00892153"/>
    <w:rsid w:val="00893404"/>
    <w:rsid w:val="0089365B"/>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4E8"/>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198"/>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658"/>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3E3A"/>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1BC"/>
    <w:rsid w:val="009C2352"/>
    <w:rsid w:val="009C27D3"/>
    <w:rsid w:val="009C2E7F"/>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684"/>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61E"/>
    <w:rsid w:val="009E783F"/>
    <w:rsid w:val="009E7A4A"/>
    <w:rsid w:val="009F090D"/>
    <w:rsid w:val="009F0C6B"/>
    <w:rsid w:val="009F139F"/>
    <w:rsid w:val="009F190F"/>
    <w:rsid w:val="009F1ECC"/>
    <w:rsid w:val="009F2537"/>
    <w:rsid w:val="009F28C7"/>
    <w:rsid w:val="009F33BB"/>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35C"/>
    <w:rsid w:val="00A1198A"/>
    <w:rsid w:val="00A120F3"/>
    <w:rsid w:val="00A12E40"/>
    <w:rsid w:val="00A13BA1"/>
    <w:rsid w:val="00A1473C"/>
    <w:rsid w:val="00A14905"/>
    <w:rsid w:val="00A14A3F"/>
    <w:rsid w:val="00A1517A"/>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887"/>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391C"/>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036"/>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4E4C"/>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049"/>
    <w:rsid w:val="00AE324B"/>
    <w:rsid w:val="00AE3D93"/>
    <w:rsid w:val="00AE463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2EC"/>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1F52"/>
    <w:rsid w:val="00B82331"/>
    <w:rsid w:val="00B8373D"/>
    <w:rsid w:val="00B839BC"/>
    <w:rsid w:val="00B84C25"/>
    <w:rsid w:val="00B84D6E"/>
    <w:rsid w:val="00B84FDB"/>
    <w:rsid w:val="00B8541F"/>
    <w:rsid w:val="00B8564B"/>
    <w:rsid w:val="00B85CCA"/>
    <w:rsid w:val="00B85D6C"/>
    <w:rsid w:val="00B85E1F"/>
    <w:rsid w:val="00B86014"/>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701"/>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5F06"/>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04A"/>
    <w:rsid w:val="00BE3E9B"/>
    <w:rsid w:val="00BE489A"/>
    <w:rsid w:val="00BE4967"/>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0DF"/>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A91"/>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4CE2"/>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97E"/>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4C1"/>
    <w:rsid w:val="00C63AFE"/>
    <w:rsid w:val="00C63CA0"/>
    <w:rsid w:val="00C648F9"/>
    <w:rsid w:val="00C64A4E"/>
    <w:rsid w:val="00C64DF6"/>
    <w:rsid w:val="00C65878"/>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82B"/>
    <w:rsid w:val="00C80953"/>
    <w:rsid w:val="00C81261"/>
    <w:rsid w:val="00C8159E"/>
    <w:rsid w:val="00C817AF"/>
    <w:rsid w:val="00C8238F"/>
    <w:rsid w:val="00C829D9"/>
    <w:rsid w:val="00C82BE1"/>
    <w:rsid w:val="00C82D8F"/>
    <w:rsid w:val="00C82FED"/>
    <w:rsid w:val="00C833AA"/>
    <w:rsid w:val="00C834E1"/>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14E"/>
    <w:rsid w:val="00CB55FF"/>
    <w:rsid w:val="00CB5926"/>
    <w:rsid w:val="00CB6E35"/>
    <w:rsid w:val="00CC0170"/>
    <w:rsid w:val="00CC02F2"/>
    <w:rsid w:val="00CC065F"/>
    <w:rsid w:val="00CC0B1C"/>
    <w:rsid w:val="00CC0FA2"/>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623"/>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3C9C"/>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5F0"/>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0B9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8C7"/>
    <w:rsid w:val="00DC6B63"/>
    <w:rsid w:val="00DC6C95"/>
    <w:rsid w:val="00DC7A6C"/>
    <w:rsid w:val="00DD044B"/>
    <w:rsid w:val="00DD05D1"/>
    <w:rsid w:val="00DD107B"/>
    <w:rsid w:val="00DD19F5"/>
    <w:rsid w:val="00DD1DBD"/>
    <w:rsid w:val="00DD2C2C"/>
    <w:rsid w:val="00DD2C71"/>
    <w:rsid w:val="00DD3B94"/>
    <w:rsid w:val="00DD3FEB"/>
    <w:rsid w:val="00DD4875"/>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353"/>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6F17"/>
    <w:rsid w:val="00E37D35"/>
    <w:rsid w:val="00E40750"/>
    <w:rsid w:val="00E41682"/>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E42"/>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74D"/>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5A08"/>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6EB"/>
    <w:rsid w:val="00E84C2A"/>
    <w:rsid w:val="00E85926"/>
    <w:rsid w:val="00E85BBA"/>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AF3"/>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2D4"/>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6FE"/>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740"/>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6621"/>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993"/>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5F38"/>
    <w:rsid w:val="00F96043"/>
    <w:rsid w:val="00F960F4"/>
    <w:rsid w:val="00F9624B"/>
    <w:rsid w:val="00F966D2"/>
    <w:rsid w:val="00F96767"/>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7FA"/>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2D84"/>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81C03B"/>
    <w:rsid w:val="03BFC2F1"/>
    <w:rsid w:val="0878B995"/>
    <w:rsid w:val="0C3B78C1"/>
    <w:rsid w:val="0E7A03C9"/>
    <w:rsid w:val="124AFD42"/>
    <w:rsid w:val="12FD6424"/>
    <w:rsid w:val="233A2782"/>
    <w:rsid w:val="2858F03A"/>
    <w:rsid w:val="35394341"/>
    <w:rsid w:val="3D8A86B9"/>
    <w:rsid w:val="5091A809"/>
    <w:rsid w:val="50E4D885"/>
    <w:rsid w:val="5BEFE096"/>
    <w:rsid w:val="684BFFD3"/>
    <w:rsid w:val="6D0CD331"/>
    <w:rsid w:val="6EA3FD7C"/>
    <w:rsid w:val="7C432210"/>
    <w:rsid w:val="7C948E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79EE5739-44EB-4F57-B37F-E1966881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DOCID618-1909475584-765</_dlc_DocId>
    <_dlc_DocIdUrl xmlns="a5f32de4-e402-4188-b034-e71ca7d22e54">
      <Url>https://delwpvicgovau.sharepoint.com/sites/ecm_618/_layouts/15/DocIdRedir.aspx?ID=DOCID618-1909475584-765</Url>
      <Description>DOCID618-1909475584-765</Description>
    </_dlc_DocIdUrl>
    <TaxCatchAll xmlns="9fd47c19-1c4a-4d7d-b342-c10cef269344">
      <Value>123</Value>
      <Value>10</Value>
      <Value>6</Value>
      <Value>5</Value>
      <Value>4</Value>
      <Value>3</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a68bb466-13a2-4b11-9c31-8c4948da88a9</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Deputy Secretary - Energy</TermName>
          <TermId xmlns="http://schemas.microsoft.com/office/infopath/2007/PartnerControls">7c688249-503a-4b39-8f27-334d21e99690</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ld508a88e6264ce89693af80a72862cb xmlns="9fd47c19-1c4a-4d7d-b342-c10cef269344">
      <Terms xmlns="http://schemas.microsoft.com/office/infopath/2007/PartnerControls"/>
    </ld508a88e6264ce89693af80a72862cb>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2517F445A0F35E449C98AAD631F2B0380103"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E2B55870CBF3A44E99B48512988CF1B3" ma:contentTypeVersion="7" ma:contentTypeDescription="" ma:contentTypeScope="" ma:versionID="62bc638af62792ef41513ce8dbc3f271">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d5a060be22972697033207c9155d580c"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customXsn xmlns="http://schemas.microsoft.com/office/2006/metadata/customXsn">
  <xsnLocation/>
  <cached>True</cached>
  <openByDefault>True</openByDefault>
  <xsnScope>/sites/contentTypeHub</xsnScope>
</customXs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http://schemas.microsoft.com/sharepoint/v3"/>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FA43E7B9-9A20-47B7-9CA7-8B6BBE0EF4B4}">
  <ds:schemaRefs>
    <ds:schemaRef ds:uri="http://schemas.microsoft.com/sharepoint/events"/>
  </ds:schemaRefs>
</ds:datastoreItem>
</file>

<file path=customXml/itemProps5.xml><?xml version="1.0" encoding="utf-8"?>
<ds:datastoreItem xmlns:ds="http://schemas.openxmlformats.org/officeDocument/2006/customXml" ds:itemID="{76BEC189-FCB7-4ECF-9993-2535665933B4}">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37B59DDD-84CA-481F-B944-FA4F33296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70065CE-4306-4106-B640-94806439B22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1776</Words>
  <Characters>11254</Characters>
  <Application>Microsoft Office Word</Application>
  <DocSecurity>0</DocSecurity>
  <Lines>261</Lines>
  <Paragraphs>169</Paragraphs>
  <ScaleCrop>false</ScaleCrop>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6</cp:revision>
  <cp:lastPrinted>2022-06-17T02:14:00Z</cp:lastPrinted>
  <dcterms:created xsi:type="dcterms:W3CDTF">2025-10-23T23:21:00Z</dcterms:created>
  <dcterms:modified xsi:type="dcterms:W3CDTF">2025-11-03T01:56:00Z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0x0101002517F445A0F35E449C98AAD631F2B038010300E2B55870CBF3A44E99B48512988CF1B3</vt:lpwstr>
  </property>
  <property fmtid="{D5CDD505-2E9C-101B-9397-08002B2CF9AE}" pid="5" name="MediaServiceImageTags">
    <vt:lpwstr/>
  </property>
  <property fmtid="{D5CDD505-2E9C-101B-9397-08002B2CF9AE}" pid="6" name="_dlc_DocIdItemGuid">
    <vt:lpwstr>e9be1dcf-d829-466f-8b79-d3e97cb0243d</vt:lpwstr>
  </property>
  <property fmtid="{D5CDD505-2E9C-101B-9397-08002B2CF9AE}" pid="7" name="Dissemination Limiting Marker">
    <vt:lpwstr>3;#FOUO|955eb6fc-b35a-4808-8aa5-31e514fa3f26</vt:lpwstr>
  </property>
  <property fmtid="{D5CDD505-2E9C-101B-9397-08002B2CF9AE}" pid="8" name="Security Classification">
    <vt:lpwstr>123;#FOUO|a68bb466-13a2-4b11-9c31-8c4948da88a9</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tion">
    <vt:lpwstr>6;#All|8270565e-a836-42c0-aa61-1ac7b0ff14aa</vt:lpwstr>
  </property>
  <property fmtid="{D5CDD505-2E9C-101B-9397-08002B2CF9AE}" pid="25" name="Security_x0020_Classification">
    <vt:lpwstr>123;#FOUO|a68bb466-13a2-4b11-9c31-8c4948da88a9</vt:lpwstr>
  </property>
  <property fmtid="{D5CDD505-2E9C-101B-9397-08002B2CF9AE}" pid="26" name="Agency">
    <vt:lpwstr>1;#Department of Environment, Land, Water and Planning|607a3f87-1228-4cd9-82a5-076aa8776274</vt:lpwstr>
  </property>
  <property fmtid="{D5CDD505-2E9C-101B-9397-08002B2CF9AE}" pid="27" name="Branch">
    <vt:lpwstr>10;#All|8270565e-a836-42c0-aa61-1ac7b0ff14aa</vt:lpwstr>
  </property>
  <property fmtid="{D5CDD505-2E9C-101B-9397-08002B2CF9AE}" pid="28" name="Reference_x0020_Type">
    <vt:lpwstr/>
  </property>
  <property fmtid="{D5CDD505-2E9C-101B-9397-08002B2CF9AE}" pid="29" name="Sub_x002d_Section">
    <vt:lpwstr/>
  </property>
  <property fmtid="{D5CDD505-2E9C-101B-9397-08002B2CF9AE}" pid="30" name="Group1">
    <vt:lpwstr>5;#Energy|40f2c14a-2679-4881-8e58-939b39a0f1d1</vt:lpwstr>
  </property>
  <property fmtid="{D5CDD505-2E9C-101B-9397-08002B2CF9AE}" pid="31" name="Dissemination_x0020_Limiting_x0020_Marker">
    <vt:lpwstr>3;#FOUO|955eb6fc-b35a-4808-8aa5-31e514fa3f26</vt:lpwstr>
  </property>
  <property fmtid="{D5CDD505-2E9C-101B-9397-08002B2CF9AE}" pid="32" name="Division">
    <vt:lpwstr>4;#Office of the Deputy Secretary - Energy|7c688249-503a-4b39-8f27-334d21e99690</vt:lpwstr>
  </property>
  <property fmtid="{D5CDD505-2E9C-101B-9397-08002B2CF9AE}" pid="33" name="Sub-Section">
    <vt:lpwstr/>
  </property>
  <property fmtid="{D5CDD505-2E9C-101B-9397-08002B2CF9AE}" pid="34" name="Reference Type">
    <vt:lpwstr/>
  </property>
</Properties>
</file>