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102F" w14:textId="77777777" w:rsidR="002C1624" w:rsidRPr="00862057" w:rsidRDefault="002C1624" w:rsidP="002C1624">
      <w:pPr>
        <w:pStyle w:val="Heading1"/>
      </w:pPr>
      <w:bookmarkStart w:id="0" w:name="_Toc106305998"/>
      <w:r>
        <w:t>Department of Energy, Environment and Climate Action</w:t>
      </w:r>
    </w:p>
    <w:p w14:paraId="17F69CB7" w14:textId="77777777" w:rsidR="002C1624" w:rsidRDefault="002C1624" w:rsidP="002C1624">
      <w:pPr>
        <w:pStyle w:val="Subtitle"/>
      </w:pPr>
      <w:r>
        <w:t>Position Description</w:t>
      </w:r>
    </w:p>
    <w:p w14:paraId="6AE6D073" w14:textId="77777777" w:rsidR="002C1624" w:rsidRDefault="002C1624" w:rsidP="002C1624">
      <w:pPr>
        <w:pStyle w:val="BodyText"/>
      </w:pPr>
      <w:bookmarkStart w:id="1" w:name="Here"/>
      <w:bookmarkEnd w:id="1"/>
      <w:r w:rsidRPr="004C1F02">
        <w:rPr>
          <w:noProof/>
        </w:rPr>
        <w:drawing>
          <wp:anchor distT="107950" distB="0" distL="114300" distR="114300" simplePos="0" relativeHeight="251660288" behindDoc="1" locked="1" layoutInCell="1" allowOverlap="1" wp14:anchorId="73CA75CD" wp14:editId="391625F8">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1BB7589" wp14:editId="2F98C576">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C45420"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0e2841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156082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e97132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0e2841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0" o:title=""/>
                </v:shape>
                <w10:wrap anchorx="page" anchory="page"/>
                <w10:anchorlock/>
              </v:group>
            </w:pict>
          </mc:Fallback>
        </mc:AlternateContent>
      </w:r>
    </w:p>
    <w:p w14:paraId="33D7BFEB" w14:textId="77777777" w:rsidR="002C1624" w:rsidRDefault="002C1624" w:rsidP="002C1624">
      <w:pPr>
        <w:sectPr w:rsidR="002C1624" w:rsidSect="002C1624">
          <w:headerReference w:type="even" r:id="rId11"/>
          <w:footerReference w:type="even" r:id="rId12"/>
          <w:footerReference w:type="default" r:id="rId13"/>
          <w:footerReference w:type="first" r:id="rId14"/>
          <w:pgSz w:w="11907" w:h="16839" w:code="9"/>
          <w:pgMar w:top="737" w:right="851" w:bottom="1701" w:left="851" w:header="284" w:footer="284" w:gutter="0"/>
          <w:cols w:space="454"/>
          <w:noEndnote/>
          <w:titlePg/>
          <w:docGrid w:linePitch="360"/>
        </w:sectPr>
      </w:pPr>
    </w:p>
    <w:bookmarkEnd w:id="0"/>
    <w:p w14:paraId="3B2F13FE" w14:textId="77777777" w:rsidR="002C1624" w:rsidRDefault="002C1624" w:rsidP="002C1624">
      <w:pPr>
        <w:pStyle w:val="Heading2"/>
        <w:spacing w:before="0"/>
      </w:pPr>
    </w:p>
    <w:p w14:paraId="71BEF1E7" w14:textId="77777777" w:rsidR="002C1624" w:rsidRDefault="002C1624" w:rsidP="002C1624">
      <w:pPr>
        <w:pStyle w:val="Heading2"/>
        <w:spacing w:before="0"/>
      </w:pPr>
    </w:p>
    <w:p w14:paraId="2045D1A2" w14:textId="77777777" w:rsidR="002C1624" w:rsidRDefault="002C1624" w:rsidP="002C1624">
      <w:pPr>
        <w:pStyle w:val="Heading2"/>
        <w:spacing w:before="0"/>
      </w:pPr>
    </w:p>
    <w:tbl>
      <w:tblPr>
        <w:tblpPr w:leftFromText="180" w:rightFromText="180" w:vertAnchor="page" w:horzAnchor="margin" w:tblpY="3871"/>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2C1624" w:rsidRPr="00495B3B" w14:paraId="125B4A22" w14:textId="77777777" w:rsidTr="002C1624">
        <w:trPr>
          <w:trHeight w:val="399"/>
        </w:trPr>
        <w:tc>
          <w:tcPr>
            <w:tcW w:w="2580" w:type="dxa"/>
            <w:tcBorders>
              <w:top w:val="nil"/>
              <w:bottom w:val="nil"/>
              <w:right w:val="nil"/>
            </w:tcBorders>
            <w:vAlign w:val="center"/>
          </w:tcPr>
          <w:p w14:paraId="7724BBF6"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74BCF44" w14:textId="0CB5AAC6" w:rsidR="002C1624" w:rsidRPr="004C3CBB" w:rsidRDefault="002C1624" w:rsidP="002C1624">
            <w:pPr>
              <w:spacing w:before="0" w:after="0"/>
              <w:ind w:left="57" w:right="-450"/>
              <w:rPr>
                <w:rFonts w:ascii="Arial" w:hAnsi="Arial" w:cs="Arial"/>
                <w:color w:val="000000" w:themeColor="text1"/>
                <w:szCs w:val="22"/>
              </w:rPr>
            </w:pPr>
            <w:r w:rsidRPr="004C3CBB">
              <w:rPr>
                <w:rFonts w:ascii="Arial" w:hAnsi="Arial" w:cs="Arial"/>
                <w:color w:val="000000" w:themeColor="text1"/>
                <w:szCs w:val="22"/>
              </w:rPr>
              <w:t xml:space="preserve">Senior </w:t>
            </w:r>
            <w:r w:rsidR="006139A4">
              <w:rPr>
                <w:rFonts w:ascii="Arial" w:hAnsi="Arial" w:cs="Arial"/>
                <w:color w:val="000000" w:themeColor="text1"/>
                <w:szCs w:val="22"/>
              </w:rPr>
              <w:t>Policy</w:t>
            </w:r>
            <w:r w:rsidRPr="004C3CBB">
              <w:rPr>
                <w:rFonts w:ascii="Arial" w:hAnsi="Arial" w:cs="Arial"/>
                <w:color w:val="000000" w:themeColor="text1"/>
                <w:szCs w:val="22"/>
              </w:rPr>
              <w:t xml:space="preserve"> Officer</w:t>
            </w:r>
            <w:r w:rsidRPr="004C3CBB">
              <w:rPr>
                <w:rFonts w:ascii="Arial" w:hAnsi="Arial"/>
                <w:color w:val="000000" w:themeColor="text1"/>
              </w:rPr>
              <w:t>, Yarra River Protection</w:t>
            </w:r>
          </w:p>
        </w:tc>
      </w:tr>
      <w:tr w:rsidR="002C1624" w:rsidRPr="00495B3B" w14:paraId="61AFA961" w14:textId="77777777" w:rsidTr="002C1624">
        <w:trPr>
          <w:trHeight w:val="399"/>
        </w:trPr>
        <w:tc>
          <w:tcPr>
            <w:tcW w:w="2580" w:type="dxa"/>
            <w:tcBorders>
              <w:top w:val="nil"/>
              <w:bottom w:val="nil"/>
              <w:right w:val="nil"/>
            </w:tcBorders>
            <w:vAlign w:val="center"/>
          </w:tcPr>
          <w:p w14:paraId="5337B971"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D1FBA5" w14:textId="77777777" w:rsidR="002C1624" w:rsidRPr="004C3CBB" w:rsidRDefault="002C1624" w:rsidP="002C1624">
            <w:pPr>
              <w:spacing w:before="0" w:after="0"/>
              <w:ind w:left="57" w:right="-450"/>
              <w:rPr>
                <w:rFonts w:ascii="Arial" w:hAnsi="Arial" w:cs="Arial"/>
                <w:color w:val="000000" w:themeColor="text1"/>
                <w:szCs w:val="22"/>
              </w:rPr>
            </w:pPr>
            <w:r w:rsidRPr="004C3CBB">
              <w:rPr>
                <w:rFonts w:ascii="Arial" w:hAnsi="Arial" w:cs="Arial"/>
                <w:color w:val="000000" w:themeColor="text1"/>
                <w:szCs w:val="22"/>
              </w:rPr>
              <w:t>50928302</w:t>
            </w:r>
          </w:p>
        </w:tc>
      </w:tr>
      <w:tr w:rsidR="002C1624" w:rsidRPr="00495B3B" w14:paraId="1B9214C5" w14:textId="77777777" w:rsidTr="002C1624">
        <w:trPr>
          <w:trHeight w:val="399"/>
        </w:trPr>
        <w:tc>
          <w:tcPr>
            <w:tcW w:w="2580" w:type="dxa"/>
            <w:tcBorders>
              <w:top w:val="nil"/>
              <w:bottom w:val="nil"/>
              <w:right w:val="nil"/>
            </w:tcBorders>
            <w:vAlign w:val="center"/>
          </w:tcPr>
          <w:p w14:paraId="2B01D02C"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F9BEAF7" w14:textId="77777777" w:rsidR="002C1624" w:rsidRPr="004C3CBB" w:rsidRDefault="002C1624" w:rsidP="002C1624">
            <w:pPr>
              <w:spacing w:before="0" w:after="0"/>
              <w:ind w:left="57" w:right="-450"/>
              <w:rPr>
                <w:rFonts w:ascii="Arial" w:hAnsi="Arial" w:cs="Arial"/>
                <w:color w:val="000000" w:themeColor="text1"/>
                <w:szCs w:val="22"/>
              </w:rPr>
            </w:pPr>
            <w:r w:rsidRPr="004C3CBB">
              <w:rPr>
                <w:rFonts w:ascii="Arial" w:hAnsi="Arial"/>
                <w:color w:val="000000" w:themeColor="text1"/>
                <w:szCs w:val="22"/>
              </w:rPr>
              <w:t>VPS Grade 5</w:t>
            </w:r>
          </w:p>
        </w:tc>
      </w:tr>
      <w:tr w:rsidR="002C1624" w:rsidRPr="00495B3B" w14:paraId="07F3834F" w14:textId="77777777" w:rsidTr="002C1624">
        <w:trPr>
          <w:trHeight w:val="399"/>
        </w:trPr>
        <w:tc>
          <w:tcPr>
            <w:tcW w:w="2580" w:type="dxa"/>
            <w:tcBorders>
              <w:top w:val="nil"/>
              <w:bottom w:val="nil"/>
              <w:right w:val="nil"/>
            </w:tcBorders>
            <w:vAlign w:val="center"/>
          </w:tcPr>
          <w:p w14:paraId="4E3399F7"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CA66EC0" w14:textId="77777777" w:rsidR="002C1624" w:rsidRPr="004C3CBB" w:rsidRDefault="002C1624" w:rsidP="002C1624">
            <w:pPr>
              <w:spacing w:before="0" w:after="0"/>
              <w:ind w:left="57" w:right="-450"/>
              <w:rPr>
                <w:rFonts w:ascii="Arial" w:hAnsi="Arial" w:cs="Arial"/>
                <w:color w:val="000000" w:themeColor="text1"/>
                <w:szCs w:val="22"/>
              </w:rPr>
            </w:pPr>
            <w:r w:rsidRPr="004C3CBB">
              <w:rPr>
                <w:rFonts w:ascii="Arial" w:hAnsi="Arial" w:cs="Arial"/>
                <w:color w:val="000000" w:themeColor="text1"/>
                <w:szCs w:val="22"/>
              </w:rPr>
              <w:t>$1</w:t>
            </w:r>
            <w:r>
              <w:rPr>
                <w:rFonts w:ascii="Arial" w:hAnsi="Arial" w:cs="Arial"/>
                <w:color w:val="000000" w:themeColor="text1"/>
                <w:szCs w:val="22"/>
              </w:rPr>
              <w:t>13,022</w:t>
            </w:r>
            <w:r w:rsidRPr="004C3CBB">
              <w:rPr>
                <w:rFonts w:ascii="Arial" w:hAnsi="Arial" w:cs="Arial"/>
                <w:color w:val="000000" w:themeColor="text1"/>
                <w:szCs w:val="22"/>
              </w:rPr>
              <w:t xml:space="preserve"> - $13</w:t>
            </w:r>
            <w:r>
              <w:rPr>
                <w:rFonts w:ascii="Arial" w:hAnsi="Arial" w:cs="Arial"/>
                <w:color w:val="000000" w:themeColor="text1"/>
                <w:szCs w:val="22"/>
              </w:rPr>
              <w:t>6,747</w:t>
            </w:r>
            <w:r w:rsidRPr="004C3CBB">
              <w:rPr>
                <w:rFonts w:ascii="Arial" w:hAnsi="Arial" w:cs="Arial"/>
                <w:color w:val="000000" w:themeColor="text1"/>
                <w:szCs w:val="22"/>
              </w:rPr>
              <w:t xml:space="preserve"> plus superannuation</w:t>
            </w:r>
          </w:p>
        </w:tc>
      </w:tr>
      <w:tr w:rsidR="002C1624" w:rsidRPr="00495B3B" w14:paraId="0585AE14" w14:textId="77777777" w:rsidTr="002C1624">
        <w:trPr>
          <w:trHeight w:val="399"/>
        </w:trPr>
        <w:tc>
          <w:tcPr>
            <w:tcW w:w="2580" w:type="dxa"/>
            <w:tcBorders>
              <w:top w:val="nil"/>
              <w:bottom w:val="nil"/>
              <w:right w:val="nil"/>
            </w:tcBorders>
            <w:vAlign w:val="center"/>
          </w:tcPr>
          <w:p w14:paraId="24013316"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D118E1C" w14:textId="77777777" w:rsidR="002C1624" w:rsidRPr="004C3CBB" w:rsidRDefault="002C1624" w:rsidP="002C1624">
            <w:pPr>
              <w:tabs>
                <w:tab w:val="left" w:pos="3529"/>
              </w:tabs>
              <w:spacing w:before="0" w:after="0"/>
              <w:ind w:left="57" w:right="-450"/>
              <w:rPr>
                <w:rFonts w:ascii="Arial" w:hAnsi="Arial" w:cs="Arial"/>
                <w:color w:val="000000" w:themeColor="text1"/>
                <w:szCs w:val="22"/>
              </w:rPr>
            </w:pPr>
            <w:r w:rsidRPr="004C3CBB">
              <w:rPr>
                <w:rFonts w:ascii="Arial" w:hAnsi="Arial" w:cs="Arial"/>
                <w:color w:val="000000" w:themeColor="text1"/>
                <w:szCs w:val="22"/>
              </w:rPr>
              <w:t xml:space="preserve">Ongoing </w:t>
            </w:r>
          </w:p>
        </w:tc>
      </w:tr>
      <w:tr w:rsidR="002C1624" w:rsidRPr="00495B3B" w14:paraId="17D32E75" w14:textId="77777777" w:rsidTr="002C1624">
        <w:trPr>
          <w:trHeight w:val="399"/>
        </w:trPr>
        <w:tc>
          <w:tcPr>
            <w:tcW w:w="2580" w:type="dxa"/>
            <w:tcBorders>
              <w:top w:val="nil"/>
              <w:bottom w:val="nil"/>
              <w:right w:val="nil"/>
            </w:tcBorders>
            <w:vAlign w:val="center"/>
          </w:tcPr>
          <w:p w14:paraId="7473E9F0"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DE290A1" w14:textId="77777777" w:rsidR="002C1624" w:rsidRPr="004C3CBB" w:rsidRDefault="002C1624" w:rsidP="002C1624">
            <w:pPr>
              <w:spacing w:before="0" w:after="0"/>
              <w:ind w:left="57" w:right="-450"/>
              <w:rPr>
                <w:rFonts w:ascii="Arial" w:hAnsi="Arial" w:cs="Arial"/>
                <w:color w:val="000000" w:themeColor="text1"/>
                <w:szCs w:val="22"/>
              </w:rPr>
            </w:pPr>
            <w:r w:rsidRPr="004C3CBB">
              <w:rPr>
                <w:rFonts w:ascii="Arial" w:hAnsi="Arial" w:cs="Arial"/>
                <w:color w:val="000000" w:themeColor="text1"/>
                <w:szCs w:val="22"/>
              </w:rPr>
              <w:t>Water and Catchments</w:t>
            </w:r>
          </w:p>
        </w:tc>
      </w:tr>
      <w:tr w:rsidR="002C1624" w:rsidRPr="00495B3B" w14:paraId="47B6C3D0" w14:textId="77777777" w:rsidTr="002C1624">
        <w:trPr>
          <w:trHeight w:val="399"/>
        </w:trPr>
        <w:tc>
          <w:tcPr>
            <w:tcW w:w="2580" w:type="dxa"/>
            <w:tcBorders>
              <w:top w:val="nil"/>
              <w:bottom w:val="nil"/>
              <w:right w:val="nil"/>
            </w:tcBorders>
            <w:vAlign w:val="center"/>
          </w:tcPr>
          <w:p w14:paraId="1BA9FA4D"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2F40D80" w14:textId="77777777" w:rsidR="002C1624" w:rsidRPr="004C3CBB" w:rsidRDefault="002C1624" w:rsidP="002C1624">
            <w:pPr>
              <w:spacing w:before="0" w:after="0"/>
              <w:ind w:left="57" w:right="-450"/>
              <w:rPr>
                <w:rFonts w:ascii="Arial" w:eastAsia="Arial" w:hAnsi="Arial" w:cs="Arial"/>
              </w:rPr>
            </w:pPr>
            <w:r w:rsidRPr="0B6E69B0">
              <w:rPr>
                <w:rFonts w:ascii="Arial" w:hAnsi="Arial" w:cs="Arial"/>
                <w:color w:val="000000" w:themeColor="text1"/>
              </w:rPr>
              <w:t xml:space="preserve">Catchments and Communities; </w:t>
            </w:r>
            <w:r w:rsidRPr="0B6E69B0">
              <w:rPr>
                <w:rFonts w:ascii="Arial" w:eastAsia="Arial" w:hAnsi="Arial" w:cs="Arial"/>
                <w:color w:val="000000"/>
                <w:sz w:val="19"/>
                <w:szCs w:val="19"/>
              </w:rPr>
              <w:t>Catchment Programs and Rural Policy</w:t>
            </w:r>
          </w:p>
        </w:tc>
      </w:tr>
      <w:tr w:rsidR="002C1624" w:rsidRPr="00495B3B" w14:paraId="0D6DEAE8" w14:textId="77777777" w:rsidTr="002C1624">
        <w:trPr>
          <w:trHeight w:val="399"/>
        </w:trPr>
        <w:tc>
          <w:tcPr>
            <w:tcW w:w="2580" w:type="dxa"/>
            <w:tcBorders>
              <w:top w:val="nil"/>
              <w:bottom w:val="nil"/>
              <w:right w:val="nil"/>
            </w:tcBorders>
            <w:vAlign w:val="center"/>
          </w:tcPr>
          <w:p w14:paraId="4982D402"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0C3B93" w14:textId="6A9CDD67" w:rsidR="002C1624" w:rsidRPr="004C3CBB" w:rsidRDefault="002C1624" w:rsidP="002C1624">
            <w:pPr>
              <w:spacing w:before="0" w:after="0"/>
              <w:ind w:left="57" w:right="-450"/>
              <w:rPr>
                <w:rFonts w:ascii="Arial" w:hAnsi="Arial"/>
                <w:color w:val="000000" w:themeColor="text1"/>
              </w:rPr>
            </w:pPr>
            <w:r w:rsidRPr="4B7EF6A3">
              <w:rPr>
                <w:rFonts w:ascii="Arial" w:hAnsi="Arial"/>
                <w:color w:val="000000" w:themeColor="text1"/>
              </w:rPr>
              <w:t>8 Nicholson Street, East Melbourne, VIC 3002</w:t>
            </w:r>
          </w:p>
          <w:p w14:paraId="5F5650FD" w14:textId="77777777" w:rsidR="002C1624" w:rsidRPr="004C3CBB" w:rsidRDefault="002C1624" w:rsidP="002C1624">
            <w:pPr>
              <w:spacing w:before="0" w:after="0"/>
              <w:ind w:left="57" w:right="-450"/>
              <w:rPr>
                <w:rFonts w:ascii="Arial" w:hAnsi="Arial" w:cs="Arial"/>
                <w:color w:val="000000" w:themeColor="text1"/>
                <w:szCs w:val="22"/>
              </w:rPr>
            </w:pPr>
            <w:r w:rsidRPr="004C3CBB">
              <w:rPr>
                <w:rFonts w:ascii="Arial" w:hAnsi="Arial" w:cs="Arial"/>
                <w:color w:val="000000" w:themeColor="text1"/>
                <w:szCs w:val="22"/>
              </w:rPr>
              <w:t xml:space="preserve">Hybrid work arrangement available: </w:t>
            </w:r>
            <w:r w:rsidRPr="004C3CBB">
              <w:rPr>
                <w:rFonts w:ascii="Arial" w:hAnsi="Arial"/>
                <w:color w:val="000000" w:themeColor="text1"/>
              </w:rPr>
              <w:fldChar w:fldCharType="begin">
                <w:ffData>
                  <w:name w:val=""/>
                  <w:enabled/>
                  <w:calcOnExit w:val="0"/>
                  <w:checkBox>
                    <w:size w:val="26"/>
                    <w:default w:val="1"/>
                  </w:checkBox>
                </w:ffData>
              </w:fldChar>
            </w:r>
            <w:r w:rsidRPr="004C3CBB">
              <w:rPr>
                <w:rFonts w:ascii="Arial" w:hAnsi="Arial"/>
                <w:color w:val="000000" w:themeColor="text1"/>
              </w:rPr>
              <w:instrText xml:space="preserve"> FORMCHECKBOX </w:instrText>
            </w:r>
            <w:r w:rsidRPr="004C3CBB">
              <w:rPr>
                <w:rFonts w:ascii="Arial" w:hAnsi="Arial"/>
                <w:color w:val="000000" w:themeColor="text1"/>
              </w:rPr>
            </w:r>
            <w:r w:rsidRPr="004C3CBB">
              <w:rPr>
                <w:rFonts w:ascii="Arial" w:hAnsi="Arial"/>
                <w:color w:val="000000" w:themeColor="text1"/>
              </w:rPr>
              <w:fldChar w:fldCharType="separate"/>
            </w:r>
            <w:r w:rsidRPr="004C3CBB">
              <w:rPr>
                <w:rFonts w:ascii="Arial" w:hAnsi="Arial"/>
                <w:color w:val="000000" w:themeColor="text1"/>
              </w:rPr>
              <w:fldChar w:fldCharType="end"/>
            </w:r>
            <w:r w:rsidRPr="004C3CBB">
              <w:rPr>
                <w:rFonts w:ascii="Arial" w:hAnsi="Arial"/>
                <w:color w:val="000000" w:themeColor="text1"/>
              </w:rPr>
              <w:t xml:space="preserve"> </w:t>
            </w:r>
            <w:r w:rsidRPr="004C3CBB">
              <w:rPr>
                <w:rFonts w:ascii="Arial" w:hAnsi="Arial" w:cs="Arial"/>
                <w:color w:val="000000" w:themeColor="text1"/>
                <w:szCs w:val="22"/>
              </w:rPr>
              <w:t>Yes</w:t>
            </w:r>
            <w:r w:rsidRPr="004C3CBB">
              <w:rPr>
                <w:rFonts w:ascii="Arial" w:hAnsi="Arial" w:cs="Arial"/>
                <w:color w:val="000000" w:themeColor="text1"/>
                <w:szCs w:val="22"/>
              </w:rPr>
              <w:tab/>
            </w:r>
            <w:r w:rsidRPr="004C3CBB">
              <w:rPr>
                <w:rFonts w:ascii="Arial" w:hAnsi="Arial" w:cs="Arial"/>
                <w:color w:val="000000" w:themeColor="text1"/>
                <w:szCs w:val="22"/>
              </w:rPr>
              <w:fldChar w:fldCharType="begin">
                <w:ffData>
                  <w:name w:val=""/>
                  <w:enabled/>
                  <w:calcOnExit w:val="0"/>
                  <w:checkBox>
                    <w:size w:val="26"/>
                    <w:default w:val="0"/>
                    <w:checked w:val="0"/>
                  </w:checkBox>
                </w:ffData>
              </w:fldChar>
            </w:r>
            <w:r w:rsidRPr="004C3CBB">
              <w:rPr>
                <w:rFonts w:ascii="Arial" w:hAnsi="Arial" w:cs="Arial"/>
                <w:color w:val="000000" w:themeColor="text1"/>
                <w:szCs w:val="22"/>
              </w:rPr>
              <w:instrText xml:space="preserve"> FORMCHECKBOX </w:instrText>
            </w:r>
            <w:r w:rsidRPr="004C3CBB">
              <w:rPr>
                <w:rFonts w:ascii="Arial" w:hAnsi="Arial" w:cs="Arial"/>
                <w:color w:val="000000" w:themeColor="text1"/>
                <w:szCs w:val="22"/>
              </w:rPr>
            </w:r>
            <w:r w:rsidRPr="004C3CBB">
              <w:rPr>
                <w:rFonts w:ascii="Arial" w:hAnsi="Arial" w:cs="Arial"/>
                <w:color w:val="000000" w:themeColor="text1"/>
                <w:szCs w:val="22"/>
              </w:rPr>
              <w:fldChar w:fldCharType="separate"/>
            </w:r>
            <w:r w:rsidRPr="004C3CBB">
              <w:rPr>
                <w:rFonts w:ascii="Arial" w:hAnsi="Arial" w:cs="Arial"/>
                <w:color w:val="000000" w:themeColor="text1"/>
                <w:szCs w:val="22"/>
              </w:rPr>
              <w:fldChar w:fldCharType="end"/>
            </w:r>
            <w:r w:rsidRPr="004C3CBB">
              <w:rPr>
                <w:rFonts w:ascii="Arial" w:hAnsi="Arial" w:cs="Arial"/>
                <w:color w:val="000000" w:themeColor="text1"/>
                <w:szCs w:val="22"/>
              </w:rPr>
              <w:t xml:space="preserve"> No                </w:t>
            </w:r>
          </w:p>
        </w:tc>
      </w:tr>
      <w:tr w:rsidR="002C1624" w:rsidRPr="00495B3B" w14:paraId="691D2D01" w14:textId="77777777" w:rsidTr="002C1624">
        <w:trPr>
          <w:trHeight w:val="399"/>
        </w:trPr>
        <w:tc>
          <w:tcPr>
            <w:tcW w:w="2580" w:type="dxa"/>
            <w:tcBorders>
              <w:top w:val="nil"/>
              <w:bottom w:val="nil"/>
              <w:right w:val="nil"/>
            </w:tcBorders>
            <w:vAlign w:val="center"/>
          </w:tcPr>
          <w:p w14:paraId="4CD97676" w14:textId="77777777" w:rsidR="002C1624" w:rsidRPr="00495B3B" w:rsidRDefault="002C1624" w:rsidP="002C162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DA25ED7" w14:textId="77777777" w:rsidR="002C1624" w:rsidRPr="004C3CBB" w:rsidRDefault="002C1624" w:rsidP="002C1624">
            <w:pPr>
              <w:tabs>
                <w:tab w:val="left" w:pos="469"/>
                <w:tab w:val="left" w:pos="1189"/>
              </w:tabs>
              <w:spacing w:before="0" w:after="0"/>
              <w:ind w:left="57" w:right="-450"/>
              <w:rPr>
                <w:rFonts w:ascii="Arial" w:hAnsi="Arial" w:cs="Arial"/>
                <w:color w:val="000000" w:themeColor="text1"/>
                <w:szCs w:val="22"/>
              </w:rPr>
            </w:pPr>
            <w:r w:rsidRPr="004C3CBB">
              <w:rPr>
                <w:rFonts w:ascii="Arial" w:hAnsi="Arial"/>
                <w:color w:val="000000" w:themeColor="text1"/>
                <w:szCs w:val="22"/>
              </w:rPr>
              <w:t>Senior Manager, Urban Waterways</w:t>
            </w:r>
          </w:p>
        </w:tc>
      </w:tr>
      <w:tr w:rsidR="002C1624" w:rsidRPr="00495B3B" w14:paraId="4A64A5B9" w14:textId="77777777" w:rsidTr="002C1624">
        <w:trPr>
          <w:trHeight w:val="399"/>
        </w:trPr>
        <w:tc>
          <w:tcPr>
            <w:tcW w:w="2580" w:type="dxa"/>
            <w:tcBorders>
              <w:top w:val="nil"/>
              <w:bottom w:val="nil"/>
              <w:right w:val="nil"/>
            </w:tcBorders>
            <w:vAlign w:val="center"/>
          </w:tcPr>
          <w:p w14:paraId="1F546378" w14:textId="77777777" w:rsidR="002C1624" w:rsidRPr="00495B3B" w:rsidRDefault="002C1624" w:rsidP="002C162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378BFD9" w14:textId="77777777" w:rsidR="002C1624" w:rsidRPr="004C3CBB" w:rsidRDefault="002C1624" w:rsidP="002C1624">
            <w:pPr>
              <w:tabs>
                <w:tab w:val="left" w:pos="469"/>
                <w:tab w:val="left" w:pos="1189"/>
              </w:tabs>
              <w:spacing w:before="0" w:after="0"/>
              <w:ind w:left="57" w:right="-450"/>
              <w:rPr>
                <w:rFonts w:ascii="Arial" w:hAnsi="Arial" w:cs="Arial"/>
                <w:color w:val="000000" w:themeColor="text1"/>
                <w:szCs w:val="22"/>
              </w:rPr>
            </w:pPr>
            <w:r w:rsidRPr="004C3CBB">
              <w:rPr>
                <w:rFonts w:ascii="Arial" w:hAnsi="Arial" w:cs="Arial"/>
                <w:color w:val="000000" w:themeColor="text1"/>
                <w:szCs w:val="22"/>
              </w:rPr>
              <w:fldChar w:fldCharType="begin">
                <w:ffData>
                  <w:name w:val=""/>
                  <w:enabled/>
                  <w:calcOnExit w:val="0"/>
                  <w:checkBox>
                    <w:size w:val="26"/>
                    <w:default w:val="0"/>
                    <w:checked w:val="0"/>
                  </w:checkBox>
                </w:ffData>
              </w:fldChar>
            </w:r>
            <w:r w:rsidRPr="004C3CBB">
              <w:rPr>
                <w:rFonts w:ascii="Arial" w:hAnsi="Arial" w:cs="Arial"/>
                <w:color w:val="000000" w:themeColor="text1"/>
                <w:szCs w:val="22"/>
              </w:rPr>
              <w:instrText xml:space="preserve"> FORMCHECKBOX </w:instrText>
            </w:r>
            <w:r w:rsidRPr="004C3CBB">
              <w:rPr>
                <w:rFonts w:ascii="Arial" w:hAnsi="Arial" w:cs="Arial"/>
                <w:color w:val="000000" w:themeColor="text1"/>
                <w:szCs w:val="22"/>
              </w:rPr>
            </w:r>
            <w:r w:rsidRPr="004C3CBB">
              <w:rPr>
                <w:rFonts w:ascii="Arial" w:hAnsi="Arial" w:cs="Arial"/>
                <w:color w:val="000000" w:themeColor="text1"/>
                <w:szCs w:val="22"/>
              </w:rPr>
              <w:fldChar w:fldCharType="separate"/>
            </w:r>
            <w:r w:rsidRPr="004C3CBB">
              <w:rPr>
                <w:rFonts w:ascii="Arial" w:hAnsi="Arial" w:cs="Arial"/>
                <w:color w:val="000000" w:themeColor="text1"/>
                <w:szCs w:val="22"/>
              </w:rPr>
              <w:fldChar w:fldCharType="end"/>
            </w:r>
            <w:r w:rsidRPr="004C3CBB">
              <w:rPr>
                <w:rFonts w:ascii="Arial" w:hAnsi="Arial" w:cs="Arial"/>
                <w:color w:val="000000" w:themeColor="text1"/>
                <w:szCs w:val="22"/>
              </w:rPr>
              <w:t xml:space="preserve"> Yes</w:t>
            </w:r>
            <w:r w:rsidRPr="004C3CBB">
              <w:rPr>
                <w:rFonts w:ascii="Arial" w:hAnsi="Arial" w:cs="Arial"/>
                <w:color w:val="000000" w:themeColor="text1"/>
                <w:szCs w:val="22"/>
              </w:rPr>
              <w:tab/>
            </w:r>
            <w:r w:rsidRPr="004C3CBB">
              <w:rPr>
                <w:rFonts w:ascii="Arial" w:hAnsi="Arial"/>
                <w:color w:val="000000" w:themeColor="text1"/>
              </w:rPr>
              <w:fldChar w:fldCharType="begin">
                <w:ffData>
                  <w:name w:val=""/>
                  <w:enabled/>
                  <w:calcOnExit w:val="0"/>
                  <w:checkBox>
                    <w:size w:val="26"/>
                    <w:default w:val="1"/>
                  </w:checkBox>
                </w:ffData>
              </w:fldChar>
            </w:r>
            <w:r w:rsidRPr="004C3CBB">
              <w:rPr>
                <w:rFonts w:ascii="Arial" w:hAnsi="Arial"/>
                <w:color w:val="000000" w:themeColor="text1"/>
              </w:rPr>
              <w:instrText xml:space="preserve"> FORMCHECKBOX </w:instrText>
            </w:r>
            <w:r w:rsidRPr="004C3CBB">
              <w:rPr>
                <w:rFonts w:ascii="Arial" w:hAnsi="Arial"/>
                <w:color w:val="000000" w:themeColor="text1"/>
              </w:rPr>
            </w:r>
            <w:r w:rsidRPr="004C3CBB">
              <w:rPr>
                <w:rFonts w:ascii="Arial" w:hAnsi="Arial"/>
                <w:color w:val="000000" w:themeColor="text1"/>
              </w:rPr>
              <w:fldChar w:fldCharType="separate"/>
            </w:r>
            <w:r w:rsidRPr="004C3CBB">
              <w:rPr>
                <w:rFonts w:ascii="Arial" w:hAnsi="Arial"/>
                <w:color w:val="000000" w:themeColor="text1"/>
              </w:rPr>
              <w:fldChar w:fldCharType="end"/>
            </w:r>
            <w:r w:rsidRPr="004C3CBB">
              <w:rPr>
                <w:rFonts w:ascii="Arial" w:hAnsi="Arial"/>
                <w:color w:val="000000" w:themeColor="text1"/>
              </w:rPr>
              <w:t xml:space="preserve"> </w:t>
            </w:r>
            <w:r w:rsidRPr="004C3CBB">
              <w:rPr>
                <w:rFonts w:ascii="Arial" w:hAnsi="Arial" w:cs="Arial"/>
                <w:color w:val="000000" w:themeColor="text1"/>
                <w:szCs w:val="22"/>
              </w:rPr>
              <w:t>No                If yes, how many?</w:t>
            </w:r>
          </w:p>
        </w:tc>
      </w:tr>
      <w:tr w:rsidR="002C1624" w:rsidRPr="00495B3B" w14:paraId="64068853" w14:textId="77777777" w:rsidTr="002C1624">
        <w:trPr>
          <w:trHeight w:val="399"/>
        </w:trPr>
        <w:tc>
          <w:tcPr>
            <w:tcW w:w="2580" w:type="dxa"/>
            <w:tcBorders>
              <w:top w:val="nil"/>
              <w:bottom w:val="nil"/>
              <w:right w:val="nil"/>
            </w:tcBorders>
            <w:vAlign w:val="center"/>
          </w:tcPr>
          <w:p w14:paraId="12368566" w14:textId="77777777" w:rsidR="002C1624" w:rsidRPr="00495B3B" w:rsidRDefault="002C1624" w:rsidP="002C1624">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0A84FB4" w14:textId="77777777" w:rsidR="002C1624" w:rsidRPr="004C3CBB" w:rsidRDefault="002C1624" w:rsidP="002C1624">
            <w:pPr>
              <w:spacing w:before="0" w:after="0"/>
              <w:ind w:left="57" w:right="-450"/>
              <w:rPr>
                <w:rFonts w:ascii="Arial" w:hAnsi="Arial" w:cs="Arial"/>
                <w:color w:val="000000" w:themeColor="text1"/>
                <w:szCs w:val="22"/>
              </w:rPr>
            </w:pPr>
            <w:r>
              <w:rPr>
                <w:rFonts w:ascii="Arial" w:hAnsi="Arial"/>
                <w:color w:val="000000" w:themeColor="text1"/>
                <w:szCs w:val="22"/>
              </w:rPr>
              <w:t xml:space="preserve">Mitra Anderson-Oliver, </w:t>
            </w:r>
            <w:r w:rsidRPr="004C3CBB">
              <w:rPr>
                <w:rFonts w:ascii="Arial" w:hAnsi="Arial"/>
                <w:color w:val="000000" w:themeColor="text1"/>
                <w:szCs w:val="22"/>
              </w:rPr>
              <w:t>Senior Manager, Urban Waterways</w:t>
            </w:r>
            <w:r>
              <w:rPr>
                <w:rFonts w:ascii="Arial" w:hAnsi="Arial"/>
                <w:color w:val="000000" w:themeColor="text1"/>
                <w:szCs w:val="22"/>
              </w:rPr>
              <w:t xml:space="preserve">, </w:t>
            </w:r>
            <w:proofErr w:type="spellStart"/>
            <w:r>
              <w:rPr>
                <w:rFonts w:ascii="Arial" w:hAnsi="Arial"/>
                <w:color w:val="000000" w:themeColor="text1"/>
                <w:szCs w:val="22"/>
              </w:rPr>
              <w:t>ph</w:t>
            </w:r>
            <w:proofErr w:type="spellEnd"/>
            <w:r>
              <w:rPr>
                <w:rFonts w:ascii="Arial" w:hAnsi="Arial"/>
                <w:color w:val="000000" w:themeColor="text1"/>
                <w:szCs w:val="22"/>
              </w:rPr>
              <w:t xml:space="preserve"> 0431 018 882</w:t>
            </w:r>
          </w:p>
        </w:tc>
      </w:tr>
    </w:tbl>
    <w:p w14:paraId="471863CC" w14:textId="77777777" w:rsidR="002C1624" w:rsidRDefault="002C1624" w:rsidP="002C1624">
      <w:pPr>
        <w:pStyle w:val="Heading2"/>
        <w:spacing w:before="0"/>
      </w:pPr>
    </w:p>
    <w:p w14:paraId="76EA62D3" w14:textId="435631D4" w:rsidR="002C1624" w:rsidRPr="008C06B8" w:rsidRDefault="002C1624" w:rsidP="002C1624">
      <w:pPr>
        <w:pStyle w:val="Heading2"/>
        <w:spacing w:before="0"/>
      </w:pPr>
      <w:r>
        <w:t>Position details</w:t>
      </w:r>
    </w:p>
    <w:p w14:paraId="45091A58" w14:textId="77777777" w:rsidR="002C1624" w:rsidRPr="00495B3B" w:rsidRDefault="002C1624" w:rsidP="002C1624">
      <w:pPr>
        <w:keepNext/>
        <w:spacing w:before="0" w:after="0" w:line="240" w:lineRule="auto"/>
        <w:rPr>
          <w:rFonts w:ascii="Arial" w:hAnsi="Arial" w:cs="Arial"/>
          <w:color w:val="57A84C"/>
          <w:sz w:val="22"/>
          <w:szCs w:val="22"/>
        </w:rPr>
      </w:pPr>
    </w:p>
    <w:p w14:paraId="094470B9" w14:textId="77777777" w:rsidR="002C1624" w:rsidRPr="00495B3B" w:rsidRDefault="002C1624" w:rsidP="002C1624">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1A51903" w14:textId="77777777" w:rsidR="002C1624" w:rsidRPr="005D4BF8" w:rsidRDefault="002C1624" w:rsidP="002C1624">
      <w:pPr>
        <w:rPr>
          <w:color w:val="000000" w:themeColor="text1"/>
        </w:rPr>
      </w:pPr>
      <w:r w:rsidRPr="005D4BF8">
        <w:rPr>
          <w:color w:val="000000" w:themeColor="text1"/>
        </w:rPr>
        <w:t xml:space="preserve">The Yarra River, Birrarung and its parklands are a magnificent natural asset that are highly valued by the community. The challenge the state faces is to ensure that as Victoria grows and the impacts of climate change are felt, we protect such important assets. The </w:t>
      </w:r>
      <w:r w:rsidRPr="005D4BF8">
        <w:rPr>
          <w:i/>
          <w:iCs/>
          <w:color w:val="000000" w:themeColor="text1"/>
        </w:rPr>
        <w:t>Yarra River Protection (</w:t>
      </w:r>
      <w:proofErr w:type="spellStart"/>
      <w:r w:rsidRPr="005D4BF8">
        <w:rPr>
          <w:i/>
          <w:iCs/>
          <w:color w:val="000000" w:themeColor="text1"/>
        </w:rPr>
        <w:t>Willip</w:t>
      </w:r>
      <w:proofErr w:type="spellEnd"/>
      <w:r w:rsidRPr="005D4BF8">
        <w:rPr>
          <w:i/>
          <w:iCs/>
          <w:color w:val="000000" w:themeColor="text1"/>
        </w:rPr>
        <w:t xml:space="preserve">-gin Birrarung </w:t>
      </w:r>
      <w:proofErr w:type="spellStart"/>
      <w:r w:rsidRPr="005D4BF8">
        <w:rPr>
          <w:i/>
          <w:iCs/>
          <w:color w:val="000000" w:themeColor="text1"/>
        </w:rPr>
        <w:t>murron</w:t>
      </w:r>
      <w:proofErr w:type="spellEnd"/>
      <w:r w:rsidRPr="005D4BF8">
        <w:rPr>
          <w:i/>
          <w:iCs/>
          <w:color w:val="000000" w:themeColor="text1"/>
        </w:rPr>
        <w:t>) Act 2017</w:t>
      </w:r>
      <w:r w:rsidRPr="005D4BF8">
        <w:rPr>
          <w:color w:val="000000" w:themeColor="text1"/>
        </w:rPr>
        <w:t xml:space="preserve"> identifies the Yarra River, Birrarung and the many hundreds of parcels of public land it flows through as one living, integrated natural entity for protection and improvement.</w:t>
      </w:r>
    </w:p>
    <w:p w14:paraId="55BD5D95" w14:textId="6E33064D" w:rsidR="002C1624" w:rsidRPr="005D4BF8" w:rsidRDefault="002C1624" w:rsidP="002C1624">
      <w:pPr>
        <w:rPr>
          <w:color w:val="000000" w:themeColor="text1"/>
        </w:rPr>
      </w:pPr>
      <w:r w:rsidRPr="005D4BF8">
        <w:rPr>
          <w:color w:val="000000" w:themeColor="text1"/>
        </w:rPr>
        <w:t xml:space="preserve">The Senior </w:t>
      </w:r>
      <w:r w:rsidR="006139A4">
        <w:rPr>
          <w:color w:val="000000" w:themeColor="text1"/>
        </w:rPr>
        <w:t>Policy</w:t>
      </w:r>
      <w:r w:rsidRPr="005D4BF8">
        <w:rPr>
          <w:color w:val="000000" w:themeColor="text1"/>
        </w:rPr>
        <w:t xml:space="preserve"> Officer – Yarra River Protection provides policy advice from the water portfolio and oversees governance arrangements for the implementation of the </w:t>
      </w:r>
      <w:proofErr w:type="spellStart"/>
      <w:r w:rsidRPr="005D4BF8">
        <w:rPr>
          <w:color w:val="000000" w:themeColor="text1"/>
        </w:rPr>
        <w:t>Burndap</w:t>
      </w:r>
      <w:proofErr w:type="spellEnd"/>
      <w:r w:rsidRPr="005D4BF8">
        <w:rPr>
          <w:color w:val="000000" w:themeColor="text1"/>
        </w:rPr>
        <w:t xml:space="preserve"> Birrarung </w:t>
      </w:r>
      <w:proofErr w:type="spellStart"/>
      <w:r w:rsidRPr="005D4BF8">
        <w:rPr>
          <w:color w:val="000000" w:themeColor="text1"/>
        </w:rPr>
        <w:t>burndap</w:t>
      </w:r>
      <w:proofErr w:type="spellEnd"/>
      <w:r w:rsidRPr="005D4BF8">
        <w:rPr>
          <w:color w:val="000000" w:themeColor="text1"/>
        </w:rPr>
        <w:t xml:space="preserve"> </w:t>
      </w:r>
      <w:proofErr w:type="spellStart"/>
      <w:r w:rsidRPr="005D4BF8">
        <w:rPr>
          <w:color w:val="000000" w:themeColor="text1"/>
        </w:rPr>
        <w:t>umarkoo</w:t>
      </w:r>
      <w:proofErr w:type="spellEnd"/>
      <w:r w:rsidRPr="005D4BF8">
        <w:rPr>
          <w:color w:val="000000" w:themeColor="text1"/>
        </w:rPr>
        <w:t xml:space="preserve"> (BBBU) (Yarra Strategic Plan). This role will support water portfolio contributions to the BBBU and oversee priority projects that the Department co-invests in to deliver the objectives of the BBBU. </w:t>
      </w:r>
    </w:p>
    <w:p w14:paraId="53817084" w14:textId="77777777" w:rsidR="000F2C78" w:rsidRDefault="000F2C78" w:rsidP="000F2C78">
      <w:pPr>
        <w:rPr>
          <w:color w:val="000000" w:themeColor="text1"/>
        </w:rPr>
      </w:pPr>
      <w:r>
        <w:rPr>
          <w:color w:val="000000" w:themeColor="text1"/>
        </w:rPr>
        <w:t>C</w:t>
      </w:r>
      <w:r w:rsidRPr="000F2C78">
        <w:rPr>
          <w:color w:val="000000" w:themeColor="text1"/>
        </w:rPr>
        <w:t>ritical to the role is oversight and</w:t>
      </w:r>
      <w:r>
        <w:rPr>
          <w:color w:val="000000" w:themeColor="text1"/>
        </w:rPr>
        <w:t xml:space="preserve"> active</w:t>
      </w:r>
      <w:r w:rsidRPr="000F2C78">
        <w:rPr>
          <w:color w:val="000000" w:themeColor="text1"/>
        </w:rPr>
        <w:t xml:space="preserve"> involvement in the governance, partnerships, and collaborations integral to achieving the objectives of the Act. This includes</w:t>
      </w:r>
      <w:r>
        <w:rPr>
          <w:color w:val="000000" w:themeColor="text1"/>
        </w:rPr>
        <w:t xml:space="preserve"> with</w:t>
      </w:r>
      <w:r w:rsidRPr="000F2C78">
        <w:rPr>
          <w:color w:val="000000" w:themeColor="text1"/>
        </w:rPr>
        <w:t xml:space="preserve"> the Birrarung’s formally recognised Traditional Owners - the Wurundjeri and Bunurong </w:t>
      </w:r>
      <w:r>
        <w:rPr>
          <w:color w:val="000000" w:themeColor="text1"/>
        </w:rPr>
        <w:t>– as well as</w:t>
      </w:r>
      <w:r w:rsidRPr="000F2C78">
        <w:rPr>
          <w:color w:val="000000" w:themeColor="text1"/>
        </w:rPr>
        <w:t xml:space="preserve"> the lead agency for BBBU Melbourne Water, the Birrarung Council, community advocates, and other responsible public entities. </w:t>
      </w:r>
    </w:p>
    <w:p w14:paraId="1D70830A" w14:textId="691E892D" w:rsidR="000F2C78" w:rsidRPr="000F2C78" w:rsidRDefault="000F2C78" w:rsidP="000F2C78">
      <w:pPr>
        <w:rPr>
          <w:color w:val="000000" w:themeColor="text1"/>
        </w:rPr>
      </w:pPr>
      <w:r w:rsidRPr="000F2C78">
        <w:rPr>
          <w:color w:val="000000" w:themeColor="text1"/>
        </w:rPr>
        <w:t xml:space="preserve">The role also supports government’s response to State of the Yarra/ Birrarung reporting. The role contributes to broader team outcomes including commitments in the </w:t>
      </w:r>
      <w:r w:rsidRPr="000F2C78">
        <w:rPr>
          <w:i/>
          <w:iCs/>
          <w:color w:val="000000" w:themeColor="text1"/>
        </w:rPr>
        <w:t xml:space="preserve">Water is Life </w:t>
      </w:r>
      <w:r w:rsidRPr="000F2C78">
        <w:rPr>
          <w:color w:val="000000" w:themeColor="text1"/>
        </w:rPr>
        <w:t>Traditional Owner Access to Water Roadmap, the urban waterway policy for the upcoming Victorian Waterway Management Strategy, and delivery of water-related actions for Barre Warre Yulluk, rivers of the Barwon and Waterways of the West Action Plan.</w:t>
      </w:r>
    </w:p>
    <w:p w14:paraId="33712915" w14:textId="77777777" w:rsidR="002C1624" w:rsidRDefault="002C1624" w:rsidP="002C1624">
      <w:pPr>
        <w:rPr>
          <w:color w:val="000000" w:themeColor="text1"/>
        </w:rPr>
      </w:pPr>
    </w:p>
    <w:p w14:paraId="1741E97E" w14:textId="77777777" w:rsidR="002C1624" w:rsidRPr="000E471C" w:rsidRDefault="002C1624" w:rsidP="002C1624">
      <w:pPr>
        <w:rPr>
          <w:color w:val="000000" w:themeColor="text1"/>
        </w:rPr>
      </w:pPr>
    </w:p>
    <w:p w14:paraId="56A7389A" w14:textId="77777777" w:rsidR="002C1624" w:rsidRPr="00495B3B" w:rsidRDefault="002C1624" w:rsidP="002C1624">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333DC4" w14:textId="77777777" w:rsidR="002C1624" w:rsidRPr="005D4BF8" w:rsidRDefault="002C1624" w:rsidP="002C1624">
      <w:pPr>
        <w:rPr>
          <w:i/>
          <w:iCs/>
          <w:color w:val="000000" w:themeColor="text1"/>
          <w:lang w:eastAsia="zh-CN"/>
        </w:rPr>
      </w:pPr>
      <w:r w:rsidRPr="005D4BF8">
        <w:rPr>
          <w:i/>
          <w:iCs/>
          <w:color w:val="000000" w:themeColor="text1"/>
          <w:lang w:eastAsia="zh-CN"/>
        </w:rPr>
        <w:t>The Group</w:t>
      </w:r>
    </w:p>
    <w:p w14:paraId="10D56F88" w14:textId="77777777" w:rsidR="002C1624" w:rsidRPr="005D4BF8" w:rsidRDefault="002C1624" w:rsidP="002C1624">
      <w:pPr>
        <w:rPr>
          <w:color w:val="000000" w:themeColor="text1"/>
          <w:lang w:eastAsia="zh-CN"/>
        </w:rPr>
      </w:pPr>
      <w:r w:rsidRPr="005D4BF8">
        <w:rPr>
          <w:color w:val="000000" w:themeColor="text1"/>
          <w:lang w:eastAsia="zh-CN"/>
        </w:rPr>
        <w:t>The Water and Catchments Group (WCG), in partnership with water corporations, catchment management authorities, Traditional Owners and the community, is responsible for managing Victoria’s water and catchment resources.</w:t>
      </w:r>
    </w:p>
    <w:p w14:paraId="67247A63" w14:textId="77777777" w:rsidR="002C1624" w:rsidRPr="005D4BF8" w:rsidRDefault="002C1624" w:rsidP="002C1624">
      <w:pPr>
        <w:rPr>
          <w:i/>
          <w:iCs/>
          <w:color w:val="000000" w:themeColor="text1"/>
          <w:lang w:eastAsia="zh-CN"/>
        </w:rPr>
      </w:pPr>
      <w:r w:rsidRPr="005D4BF8">
        <w:rPr>
          <w:i/>
          <w:iCs/>
          <w:color w:val="000000" w:themeColor="text1"/>
          <w:lang w:eastAsia="zh-CN"/>
        </w:rPr>
        <w:t>The Division</w:t>
      </w:r>
      <w:r w:rsidRPr="005D4BF8">
        <w:rPr>
          <w:rFonts w:ascii="Arial" w:hAnsi="Arial" w:cs="Arial"/>
          <w:i/>
          <w:iCs/>
          <w:color w:val="000000" w:themeColor="text1"/>
          <w:lang w:eastAsia="zh-CN"/>
        </w:rPr>
        <w:t>  </w:t>
      </w:r>
      <w:r w:rsidRPr="005D4BF8">
        <w:rPr>
          <w:i/>
          <w:iCs/>
          <w:color w:val="000000" w:themeColor="text1"/>
          <w:lang w:eastAsia="zh-CN"/>
        </w:rPr>
        <w:t xml:space="preserve"> </w:t>
      </w:r>
    </w:p>
    <w:p w14:paraId="7D781AD4" w14:textId="77777777" w:rsidR="002C1624" w:rsidRPr="005D4BF8" w:rsidRDefault="002C1624" w:rsidP="002C1624">
      <w:pPr>
        <w:rPr>
          <w:color w:val="000000" w:themeColor="text1"/>
          <w:lang w:eastAsia="zh-CN"/>
        </w:rPr>
      </w:pPr>
      <w:r w:rsidRPr="005D4BF8">
        <w:rPr>
          <w:color w:val="000000" w:themeColor="text1"/>
          <w:lang w:eastAsia="zh-CN"/>
        </w:rPr>
        <w:t>The Catchments and Communities Division develops and delivers policies, strategies and programs that balance the needs of the environment with communities and water use and management. This involves working to apply a holistic approach to waterway and catchment management with a wide range of partners and community stakeholders including Traditional Owners, Catchment Management Authorities, Commonwealth government, other jurisdictions and local governments, community and environmental stakeholders. The Division comprises three Branches:</w:t>
      </w:r>
      <w:r w:rsidRPr="005D4BF8">
        <w:rPr>
          <w:rFonts w:ascii="Arial" w:hAnsi="Arial" w:cs="Arial"/>
          <w:color w:val="000000" w:themeColor="text1"/>
          <w:lang w:eastAsia="zh-CN"/>
        </w:rPr>
        <w:t>  </w:t>
      </w:r>
      <w:r w:rsidRPr="005D4BF8">
        <w:rPr>
          <w:color w:val="000000" w:themeColor="text1"/>
          <w:lang w:eastAsia="zh-CN"/>
        </w:rPr>
        <w:t xml:space="preserve"> </w:t>
      </w:r>
    </w:p>
    <w:p w14:paraId="03AA2251" w14:textId="77777777" w:rsidR="002C1624" w:rsidRPr="005D4BF8" w:rsidRDefault="002C1624" w:rsidP="002C1624">
      <w:pPr>
        <w:pStyle w:val="ListParagraph"/>
        <w:numPr>
          <w:ilvl w:val="0"/>
          <w:numId w:val="3"/>
        </w:numPr>
        <w:rPr>
          <w:color w:val="000000" w:themeColor="text1"/>
          <w:lang w:eastAsia="zh-CN"/>
        </w:rPr>
      </w:pPr>
      <w:r w:rsidRPr="0B6E69B0">
        <w:rPr>
          <w:color w:val="000000" w:themeColor="text1"/>
          <w:lang w:eastAsia="zh-CN"/>
        </w:rPr>
        <w:t xml:space="preserve">Waterway Policy &amp; Programs   </w:t>
      </w:r>
    </w:p>
    <w:p w14:paraId="30F33519" w14:textId="77777777" w:rsidR="002C1624" w:rsidRPr="009C61C2" w:rsidRDefault="002C1624" w:rsidP="002C1624">
      <w:pPr>
        <w:pStyle w:val="ListParagraph"/>
        <w:numPr>
          <w:ilvl w:val="0"/>
          <w:numId w:val="3"/>
        </w:numPr>
        <w:rPr>
          <w:color w:val="000000" w:themeColor="text1"/>
          <w:lang w:eastAsia="zh-CN"/>
        </w:rPr>
      </w:pPr>
      <w:r w:rsidRPr="009C61C2">
        <w:rPr>
          <w:color w:val="000000" w:themeColor="text1"/>
          <w:lang w:eastAsia="zh-CN"/>
        </w:rPr>
        <w:t>Catchment Programs and Rural Policy</w:t>
      </w:r>
    </w:p>
    <w:p w14:paraId="7D48D858" w14:textId="77777777" w:rsidR="002C1624" w:rsidRPr="005D4BF8" w:rsidRDefault="002C1624" w:rsidP="002C1624">
      <w:pPr>
        <w:pStyle w:val="ListParagraph"/>
        <w:numPr>
          <w:ilvl w:val="0"/>
          <w:numId w:val="3"/>
        </w:numPr>
        <w:rPr>
          <w:color w:val="000000" w:themeColor="text1"/>
          <w:lang w:eastAsia="zh-CN"/>
        </w:rPr>
      </w:pPr>
      <w:r w:rsidRPr="005D4BF8">
        <w:rPr>
          <w:color w:val="000000" w:themeColor="text1"/>
          <w:lang w:eastAsia="zh-CN"/>
        </w:rPr>
        <w:t>Intergovernmental Policy</w:t>
      </w:r>
      <w:r w:rsidRPr="009C61C2">
        <w:rPr>
          <w:rFonts w:ascii="Arial" w:hAnsi="Arial" w:cs="Arial"/>
          <w:color w:val="000000" w:themeColor="text1"/>
          <w:lang w:eastAsia="zh-CN"/>
        </w:rPr>
        <w:t> </w:t>
      </w:r>
      <w:r w:rsidRPr="005D4BF8">
        <w:rPr>
          <w:color w:val="000000" w:themeColor="text1"/>
          <w:lang w:eastAsia="zh-CN"/>
        </w:rPr>
        <w:t xml:space="preserve"> </w:t>
      </w:r>
    </w:p>
    <w:p w14:paraId="6EA0A71F" w14:textId="77777777" w:rsidR="002C1624" w:rsidRPr="005D4BF8" w:rsidRDefault="002C1624" w:rsidP="002C1624">
      <w:pPr>
        <w:rPr>
          <w:i/>
          <w:iCs/>
          <w:color w:val="000000" w:themeColor="text1"/>
          <w:lang w:eastAsia="zh-CN"/>
        </w:rPr>
      </w:pPr>
      <w:r w:rsidRPr="005D4BF8">
        <w:rPr>
          <w:i/>
          <w:iCs/>
          <w:color w:val="000000" w:themeColor="text1"/>
          <w:lang w:eastAsia="zh-CN"/>
        </w:rPr>
        <w:t>The Branch</w:t>
      </w:r>
      <w:r w:rsidRPr="005D4BF8">
        <w:rPr>
          <w:rFonts w:ascii="Arial" w:hAnsi="Arial" w:cs="Arial"/>
          <w:i/>
          <w:iCs/>
          <w:color w:val="000000" w:themeColor="text1"/>
          <w:lang w:eastAsia="zh-CN"/>
        </w:rPr>
        <w:t> </w:t>
      </w:r>
      <w:r w:rsidRPr="005D4BF8">
        <w:rPr>
          <w:i/>
          <w:iCs/>
          <w:color w:val="000000" w:themeColor="text1"/>
          <w:lang w:eastAsia="zh-CN"/>
        </w:rPr>
        <w:t xml:space="preserve"> </w:t>
      </w:r>
    </w:p>
    <w:p w14:paraId="2438338B" w14:textId="77777777" w:rsidR="002C1624" w:rsidRPr="005D4BF8" w:rsidRDefault="002C1624" w:rsidP="002C1624">
      <w:pPr>
        <w:rPr>
          <w:color w:val="000000" w:themeColor="text1"/>
        </w:rPr>
      </w:pPr>
      <w:r w:rsidRPr="005D4BF8">
        <w:rPr>
          <w:color w:val="000000" w:themeColor="text1"/>
          <w:lang w:eastAsia="zh-CN"/>
        </w:rPr>
        <w:t xml:space="preserve">The Catchments and Rural Policy Branch works with a range of stakeholders and partners to apply a holistic approach to catchment and waterway management across public and private land. The Branch has responsibility for delivering water programs that improve the health of catchments and waterways and seek to reduce the environmental impact of water management practices. </w:t>
      </w:r>
    </w:p>
    <w:p w14:paraId="1B1E28E6" w14:textId="77777777" w:rsidR="002C1624" w:rsidRPr="00495B3B" w:rsidRDefault="002C1624" w:rsidP="002C162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7C0009E" w14:textId="77777777" w:rsidR="000F2C78" w:rsidRDefault="000F2C78" w:rsidP="000F2C78">
      <w:pPr>
        <w:numPr>
          <w:ilvl w:val="0"/>
          <w:numId w:val="1"/>
        </w:numPr>
        <w:spacing w:before="60" w:after="60" w:line="240" w:lineRule="auto"/>
        <w:jc w:val="both"/>
        <w:rPr>
          <w:color w:val="000000" w:themeColor="text1"/>
        </w:rPr>
      </w:pPr>
      <w:r>
        <w:rPr>
          <w:color w:val="000000" w:themeColor="text1"/>
        </w:rPr>
        <w:t>Provide authoritative policy advice and guidance in relation to the Act and BBBU, including contributing to broader government policy as required.</w:t>
      </w:r>
    </w:p>
    <w:p w14:paraId="0BE47722" w14:textId="370A829A" w:rsidR="000F2C78" w:rsidRPr="005D4BF8" w:rsidRDefault="000F2C78" w:rsidP="000F2C78">
      <w:pPr>
        <w:numPr>
          <w:ilvl w:val="0"/>
          <w:numId w:val="1"/>
        </w:numPr>
        <w:spacing w:before="60" w:after="60" w:line="240" w:lineRule="auto"/>
        <w:jc w:val="both"/>
        <w:rPr>
          <w:color w:val="000000" w:themeColor="text1"/>
        </w:rPr>
      </w:pPr>
      <w:r w:rsidRPr="005D4BF8">
        <w:rPr>
          <w:color w:val="000000" w:themeColor="text1"/>
        </w:rPr>
        <w:t xml:space="preserve">Engage, empower and support </w:t>
      </w:r>
      <w:r>
        <w:rPr>
          <w:color w:val="000000" w:themeColor="text1"/>
        </w:rPr>
        <w:t>Wurundjeri and Bunurong</w:t>
      </w:r>
      <w:r w:rsidRPr="005D4BF8">
        <w:rPr>
          <w:color w:val="000000" w:themeColor="text1"/>
        </w:rPr>
        <w:t xml:space="preserve"> in implementing the BBBU.</w:t>
      </w:r>
    </w:p>
    <w:p w14:paraId="56BAFCA3" w14:textId="413EB71C" w:rsidR="000F2C78" w:rsidRPr="005D4BF8" w:rsidRDefault="000F2C78" w:rsidP="000F2C78">
      <w:pPr>
        <w:numPr>
          <w:ilvl w:val="0"/>
          <w:numId w:val="1"/>
        </w:numPr>
        <w:spacing w:before="60" w:after="60" w:line="240" w:lineRule="auto"/>
        <w:jc w:val="both"/>
        <w:rPr>
          <w:color w:val="000000" w:themeColor="text1"/>
        </w:rPr>
      </w:pPr>
      <w:r w:rsidRPr="005D4BF8">
        <w:rPr>
          <w:color w:val="000000" w:themeColor="text1"/>
        </w:rPr>
        <w:t>Work with</w:t>
      </w:r>
      <w:r>
        <w:rPr>
          <w:color w:val="000000" w:themeColor="text1"/>
        </w:rPr>
        <w:t xml:space="preserve"> the</w:t>
      </w:r>
      <w:r w:rsidRPr="005D4BF8">
        <w:rPr>
          <w:color w:val="000000" w:themeColor="text1"/>
        </w:rPr>
        <w:t xml:space="preserve"> lead agency, Melbourne Water, to</w:t>
      </w:r>
      <w:r>
        <w:rPr>
          <w:color w:val="000000" w:themeColor="text1"/>
        </w:rPr>
        <w:t xml:space="preserve"> ensure appropriate collaborative governance mechanisms, reporting, communications, delivery of </w:t>
      </w:r>
      <w:r w:rsidRPr="005D4BF8">
        <w:rPr>
          <w:color w:val="000000" w:themeColor="text1"/>
        </w:rPr>
        <w:t>priority projects</w:t>
      </w:r>
      <w:r>
        <w:rPr>
          <w:color w:val="000000" w:themeColor="text1"/>
        </w:rPr>
        <w:t>, and engagement with key stakeholders in the Birrarung</w:t>
      </w:r>
      <w:r w:rsidRPr="005D4BF8">
        <w:rPr>
          <w:color w:val="000000" w:themeColor="text1"/>
        </w:rPr>
        <w:t>.</w:t>
      </w:r>
    </w:p>
    <w:p w14:paraId="5E7AD646" w14:textId="77777777" w:rsidR="000F2C78" w:rsidRDefault="000F2C78" w:rsidP="000F2C78">
      <w:pPr>
        <w:numPr>
          <w:ilvl w:val="0"/>
          <w:numId w:val="1"/>
        </w:numPr>
        <w:spacing w:before="60" w:after="60" w:line="240" w:lineRule="auto"/>
        <w:jc w:val="both"/>
        <w:rPr>
          <w:color w:val="000000" w:themeColor="text1"/>
        </w:rPr>
      </w:pPr>
      <w:r>
        <w:rPr>
          <w:color w:val="000000" w:themeColor="text1"/>
        </w:rPr>
        <w:t>Support the Birrarung Council as the ‘independent voice of the river’, including provision of policy advice and support for the Council’s key functions as specified by the Act.</w:t>
      </w:r>
    </w:p>
    <w:p w14:paraId="297B2C33" w14:textId="77777777" w:rsidR="000F2C78" w:rsidRDefault="000F2C78" w:rsidP="000F2C78">
      <w:pPr>
        <w:numPr>
          <w:ilvl w:val="0"/>
          <w:numId w:val="1"/>
        </w:numPr>
        <w:spacing w:before="60" w:after="60" w:line="240" w:lineRule="auto"/>
        <w:jc w:val="both"/>
        <w:rPr>
          <w:color w:val="000000" w:themeColor="text1"/>
        </w:rPr>
      </w:pPr>
      <w:r>
        <w:rPr>
          <w:color w:val="000000" w:themeColor="text1"/>
        </w:rPr>
        <w:t>Support other government departments and responsible public entities towards implementing BBBU, including identifying strategic partnerships and works, particularly Department of Transport and Planning and Parks Victoria.</w:t>
      </w:r>
    </w:p>
    <w:p w14:paraId="755B6229" w14:textId="0DC11A22" w:rsidR="000F2C78" w:rsidRPr="005D4BF8" w:rsidRDefault="000F2C78" w:rsidP="000F2C78">
      <w:pPr>
        <w:numPr>
          <w:ilvl w:val="0"/>
          <w:numId w:val="1"/>
        </w:numPr>
        <w:spacing w:before="60" w:after="60" w:line="240" w:lineRule="auto"/>
        <w:jc w:val="both"/>
        <w:rPr>
          <w:color w:val="000000" w:themeColor="text1"/>
        </w:rPr>
      </w:pPr>
      <w:r w:rsidRPr="005D4BF8">
        <w:rPr>
          <w:color w:val="000000" w:themeColor="text1"/>
        </w:rPr>
        <w:t xml:space="preserve">Facilitate </w:t>
      </w:r>
      <w:r>
        <w:rPr>
          <w:color w:val="000000" w:themeColor="text1"/>
        </w:rPr>
        <w:t>DEECA’s role as a responsible public entity under the Act, including establishing and maintaining suitable governance and oversight arrangements, engaging teams on their responsibilities, coordinating input to annual reporting and implementation planning, and supporting delivery of DEECA-led actions.</w:t>
      </w:r>
      <w:r w:rsidRPr="005D4BF8">
        <w:rPr>
          <w:color w:val="000000" w:themeColor="text1"/>
        </w:rPr>
        <w:t xml:space="preserve"> </w:t>
      </w:r>
    </w:p>
    <w:p w14:paraId="32C3BDD0" w14:textId="77777777" w:rsidR="000F2C78" w:rsidRPr="005D4BF8" w:rsidDel="00247C46" w:rsidRDefault="000F2C78" w:rsidP="000F2C78">
      <w:pPr>
        <w:numPr>
          <w:ilvl w:val="0"/>
          <w:numId w:val="1"/>
        </w:numPr>
        <w:spacing w:before="60" w:after="60" w:line="240" w:lineRule="auto"/>
        <w:jc w:val="both"/>
        <w:rPr>
          <w:color w:val="000000" w:themeColor="text1"/>
        </w:rPr>
      </w:pPr>
      <w:r w:rsidRPr="005D4BF8">
        <w:rPr>
          <w:color w:val="000000" w:themeColor="text1"/>
        </w:rPr>
        <w:t>Actively participate and support others in fostering a positive organisational culture, where respect, flexibility, teamwork and the ability to respond positively to changes in the working environment are encouraged and valued.</w:t>
      </w:r>
    </w:p>
    <w:p w14:paraId="3156CD98" w14:textId="1FC0ED82" w:rsidR="002C1624" w:rsidRPr="007606C7" w:rsidRDefault="000F2C78" w:rsidP="007606C7">
      <w:pPr>
        <w:numPr>
          <w:ilvl w:val="0"/>
          <w:numId w:val="1"/>
        </w:numPr>
        <w:spacing w:before="60" w:after="60" w:line="240" w:lineRule="auto"/>
        <w:jc w:val="both"/>
        <w:rPr>
          <w:color w:val="000000" w:themeColor="text1"/>
        </w:rPr>
      </w:pPr>
      <w:r w:rsidRPr="007606C7">
        <w:rPr>
          <w:color w:val="000000" w:themeColor="text1"/>
        </w:rPr>
        <w:t>To practice cultural safety by creating environments, relationships and systems free from racism and discrimination so that people can feel safe, valued and able to participate</w:t>
      </w:r>
      <w:r w:rsidR="002C1624" w:rsidRPr="007606C7">
        <w:rPr>
          <w:color w:val="000000" w:themeColor="text1"/>
        </w:rPr>
        <w:t>.</w:t>
      </w:r>
    </w:p>
    <w:p w14:paraId="6A1A1FFA" w14:textId="77777777" w:rsidR="002C1624" w:rsidRPr="008F0FB6" w:rsidRDefault="002C1624" w:rsidP="002C1624">
      <w:pPr>
        <w:spacing w:before="60" w:after="0" w:line="240" w:lineRule="auto"/>
        <w:ind w:left="357"/>
        <w:rPr>
          <w:rFonts w:ascii="Arial" w:hAnsi="Arial" w:cs="Arial"/>
          <w:color w:val="000000" w:themeColor="text1"/>
          <w:szCs w:val="22"/>
        </w:rPr>
      </w:pPr>
    </w:p>
    <w:p w14:paraId="074998E8" w14:textId="77777777" w:rsidR="002C1624" w:rsidRPr="00495B3B" w:rsidRDefault="002C1624" w:rsidP="002C1624">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D7BC304" w14:textId="77777777" w:rsidR="002C1624" w:rsidRPr="005D4BF8" w:rsidRDefault="002C1624" w:rsidP="002C1624">
      <w:pPr>
        <w:spacing w:before="0" w:after="0"/>
        <w:rPr>
          <w:rFonts w:ascii="Arial" w:hAnsi="Arial" w:cs="Arial"/>
          <w:color w:val="000000" w:themeColor="text1"/>
          <w:szCs w:val="22"/>
        </w:rPr>
      </w:pPr>
      <w:r w:rsidRPr="005D4BF8">
        <w:rPr>
          <w:rFonts w:ascii="Arial" w:hAnsi="Arial" w:cs="Arial"/>
          <w:color w:val="000000" w:themeColor="text1"/>
          <w:szCs w:val="22"/>
        </w:rPr>
        <w:t>The key selection criteria specified below outline the capabilities required for the position.</w:t>
      </w:r>
    </w:p>
    <w:p w14:paraId="7FF535E8" w14:textId="77777777" w:rsidR="002C1624" w:rsidRPr="005D4BF8" w:rsidRDefault="002C1624" w:rsidP="002C1624">
      <w:pPr>
        <w:spacing w:before="160" w:after="0"/>
        <w:rPr>
          <w:rFonts w:ascii="Arial" w:hAnsi="Arial" w:cs="Arial"/>
          <w:b/>
          <w:color w:val="000000" w:themeColor="text1"/>
          <w:szCs w:val="22"/>
        </w:rPr>
      </w:pPr>
      <w:r w:rsidRPr="005D4BF8">
        <w:rPr>
          <w:rFonts w:ascii="Arial" w:hAnsi="Arial" w:cs="Arial"/>
          <w:b/>
          <w:color w:val="000000" w:themeColor="text1"/>
          <w:szCs w:val="22"/>
        </w:rPr>
        <w:t>Specialist/Technical Expertise/Qualifications</w:t>
      </w:r>
    </w:p>
    <w:p w14:paraId="2DAD9053" w14:textId="77777777" w:rsidR="007606C7" w:rsidRDefault="000F2C78" w:rsidP="007606C7">
      <w:pPr>
        <w:pStyle w:val="ListParagraph"/>
        <w:numPr>
          <w:ilvl w:val="0"/>
          <w:numId w:val="1"/>
        </w:numPr>
        <w:spacing w:before="60" w:after="60" w:line="276" w:lineRule="auto"/>
        <w:contextualSpacing w:val="0"/>
        <w:jc w:val="both"/>
        <w:rPr>
          <w:rFonts w:cstheme="minorHAnsi"/>
          <w:color w:val="000000" w:themeColor="text1"/>
          <w:lang w:eastAsia="zh-CN"/>
        </w:rPr>
      </w:pPr>
      <w:r w:rsidRPr="008F0FB6">
        <w:rPr>
          <w:color w:val="000000" w:themeColor="text1"/>
        </w:rPr>
        <w:t>A strong understanding of, and previous experience in, natural resource management policy</w:t>
      </w:r>
      <w:r>
        <w:rPr>
          <w:color w:val="000000" w:themeColor="text1"/>
        </w:rPr>
        <w:t xml:space="preserve"> (ideally with experience in waterway or urban waterway policy and/or programs)</w:t>
      </w:r>
      <w:r w:rsidRPr="008F0FB6">
        <w:rPr>
          <w:color w:val="000000" w:themeColor="text1"/>
        </w:rPr>
        <w:t xml:space="preserve">, land use planning </w:t>
      </w:r>
      <w:r>
        <w:rPr>
          <w:color w:val="000000" w:themeColor="text1"/>
        </w:rPr>
        <w:t>and</w:t>
      </w:r>
      <w:r w:rsidRPr="008F0FB6">
        <w:rPr>
          <w:color w:val="000000" w:themeColor="text1"/>
        </w:rPr>
        <w:t xml:space="preserve"> Traditional Owner partnership in land and water management is required</w:t>
      </w:r>
      <w:r w:rsidRPr="008F0FB6">
        <w:rPr>
          <w:rFonts w:cstheme="minorHAnsi"/>
          <w:color w:val="000000" w:themeColor="text1"/>
          <w:lang w:eastAsia="zh-CN"/>
        </w:rPr>
        <w:t xml:space="preserve">. </w:t>
      </w:r>
    </w:p>
    <w:p w14:paraId="6ED930D7" w14:textId="45CB9204" w:rsidR="007606C7" w:rsidRPr="008F0FB6" w:rsidRDefault="007606C7" w:rsidP="007606C7">
      <w:pPr>
        <w:pStyle w:val="ListParagraph"/>
        <w:numPr>
          <w:ilvl w:val="0"/>
          <w:numId w:val="1"/>
        </w:numPr>
        <w:spacing w:before="60" w:after="60" w:line="276" w:lineRule="auto"/>
        <w:contextualSpacing w:val="0"/>
        <w:jc w:val="both"/>
        <w:rPr>
          <w:rFonts w:cstheme="minorHAnsi"/>
          <w:color w:val="000000" w:themeColor="text1"/>
          <w:lang w:eastAsia="zh-CN"/>
        </w:rPr>
      </w:pPr>
      <w:r w:rsidRPr="008F0FB6">
        <w:rPr>
          <w:rFonts w:cstheme="minorHAnsi"/>
          <w:color w:val="000000" w:themeColor="text1"/>
          <w:lang w:eastAsia="zh-CN"/>
        </w:rPr>
        <w:t>Demonstrated knowledge and understanding of Victorian Aboriginal cultures and societies and ability to communicate effectively with Aboriginal people</w:t>
      </w:r>
      <w:r>
        <w:rPr>
          <w:rFonts w:cstheme="minorHAnsi"/>
          <w:color w:val="000000" w:themeColor="text1"/>
          <w:lang w:eastAsia="zh-CN"/>
        </w:rPr>
        <w:t>, and an understanding of relevant government policy and obligations in relation to Traditional Owners.</w:t>
      </w:r>
    </w:p>
    <w:p w14:paraId="36C3CFBB" w14:textId="77777777" w:rsidR="002C1624" w:rsidRPr="008F0FB6" w:rsidRDefault="002C1624" w:rsidP="002C1624">
      <w:pPr>
        <w:pStyle w:val="ListParagraph"/>
        <w:numPr>
          <w:ilvl w:val="0"/>
          <w:numId w:val="1"/>
        </w:numPr>
        <w:spacing w:before="60" w:after="60" w:line="276" w:lineRule="auto"/>
        <w:contextualSpacing w:val="0"/>
        <w:rPr>
          <w:rFonts w:ascii="Arial" w:hAnsi="Arial"/>
          <w:color w:val="000000" w:themeColor="text1"/>
        </w:rPr>
      </w:pPr>
      <w:r w:rsidRPr="008F0FB6">
        <w:rPr>
          <w:color w:val="000000" w:themeColor="text1"/>
        </w:rPr>
        <w:lastRenderedPageBreak/>
        <w:t xml:space="preserve">A demonstrated understanding of the United Nations Declaration on the Rights of Indigenous Peoples, the Victorian Aboriginal Affairs Framework, DEECA’s </w:t>
      </w:r>
      <w:proofErr w:type="spellStart"/>
      <w:r w:rsidRPr="008F0FB6">
        <w:rPr>
          <w:color w:val="000000" w:themeColor="text1"/>
        </w:rPr>
        <w:t>Pupangarli</w:t>
      </w:r>
      <w:proofErr w:type="spellEnd"/>
      <w:r w:rsidRPr="008F0FB6">
        <w:rPr>
          <w:color w:val="000000" w:themeColor="text1"/>
        </w:rPr>
        <w:t xml:space="preserve"> </w:t>
      </w:r>
      <w:proofErr w:type="spellStart"/>
      <w:r w:rsidRPr="008F0FB6">
        <w:rPr>
          <w:color w:val="000000" w:themeColor="text1"/>
        </w:rPr>
        <w:t>Marnmarnepu</w:t>
      </w:r>
      <w:proofErr w:type="spellEnd"/>
      <w:r w:rsidRPr="008F0FB6">
        <w:rPr>
          <w:color w:val="000000" w:themeColor="text1"/>
        </w:rPr>
        <w:t xml:space="preserve"> and knowledge of Traditional Owner Corporations is required</w:t>
      </w:r>
      <w:r w:rsidRPr="008F0FB6">
        <w:rPr>
          <w:rFonts w:ascii="Arial" w:hAnsi="Arial"/>
          <w:color w:val="000000" w:themeColor="text1"/>
        </w:rPr>
        <w:t>.</w:t>
      </w:r>
    </w:p>
    <w:p w14:paraId="11050237" w14:textId="77777777" w:rsidR="002C1624" w:rsidRPr="005D4BF8" w:rsidRDefault="002C1624" w:rsidP="002C1624">
      <w:pPr>
        <w:spacing w:before="160" w:after="0"/>
        <w:rPr>
          <w:rFonts w:ascii="Arial" w:hAnsi="Arial" w:cs="Arial"/>
          <w:b/>
          <w:color w:val="000000" w:themeColor="text1"/>
        </w:rPr>
      </w:pPr>
      <w:r w:rsidRPr="005D4BF8">
        <w:rPr>
          <w:rFonts w:ascii="Arial" w:hAnsi="Arial" w:cs="Arial"/>
          <w:b/>
          <w:color w:val="000000" w:themeColor="text1"/>
        </w:rPr>
        <w:t>Capabilities</w:t>
      </w:r>
    </w:p>
    <w:p w14:paraId="2E497F1C" w14:textId="77777777" w:rsidR="007606C7" w:rsidRPr="005D4BF8" w:rsidRDefault="007606C7" w:rsidP="007606C7">
      <w:pPr>
        <w:rPr>
          <w:b/>
          <w:bCs/>
          <w:color w:val="000000" w:themeColor="text1"/>
        </w:rPr>
      </w:pPr>
      <w:bookmarkStart w:id="2" w:name="_Hlk102550785"/>
      <w:r w:rsidRPr="005D4BF8">
        <w:rPr>
          <w:b/>
          <w:bCs/>
          <w:color w:val="000000" w:themeColor="text1"/>
        </w:rPr>
        <w:t xml:space="preserve">Policy Skills: </w:t>
      </w:r>
    </w:p>
    <w:p w14:paraId="549E3288" w14:textId="77777777" w:rsidR="007606C7" w:rsidRPr="005D4BF8" w:rsidRDefault="007606C7" w:rsidP="007606C7">
      <w:pPr>
        <w:pStyle w:val="ListParagraph"/>
        <w:numPr>
          <w:ilvl w:val="0"/>
          <w:numId w:val="4"/>
        </w:numPr>
        <w:tabs>
          <w:tab w:val="left" w:pos="630"/>
        </w:tabs>
        <w:ind w:left="360"/>
        <w:rPr>
          <w:color w:val="000000" w:themeColor="text1"/>
        </w:rPr>
      </w:pPr>
      <w:r w:rsidRPr="005D4BF8">
        <w:rPr>
          <w:color w:val="000000" w:themeColor="text1"/>
        </w:rPr>
        <w:t xml:space="preserve">Builds trusting relationships with stakeholders to inform policy development and gain commitment to implementation. </w:t>
      </w:r>
    </w:p>
    <w:p w14:paraId="540571AF" w14:textId="77777777" w:rsidR="007606C7" w:rsidRPr="005D4BF8" w:rsidRDefault="007606C7" w:rsidP="007606C7">
      <w:pPr>
        <w:pStyle w:val="ListParagraph"/>
        <w:numPr>
          <w:ilvl w:val="0"/>
          <w:numId w:val="4"/>
        </w:numPr>
        <w:tabs>
          <w:tab w:val="left" w:pos="630"/>
        </w:tabs>
        <w:ind w:left="360"/>
        <w:rPr>
          <w:color w:val="000000" w:themeColor="text1"/>
        </w:rPr>
      </w:pPr>
      <w:r w:rsidRPr="005D4BF8">
        <w:rPr>
          <w:color w:val="000000" w:themeColor="text1"/>
        </w:rPr>
        <w:t xml:space="preserve">Formulates and communicates public policy options and recommendations and prepares briefs on complex issues. </w:t>
      </w:r>
    </w:p>
    <w:p w14:paraId="6FE71E16" w14:textId="77777777" w:rsidR="007606C7" w:rsidRPr="005D4BF8" w:rsidRDefault="007606C7" w:rsidP="007606C7">
      <w:pPr>
        <w:pStyle w:val="ListParagraph"/>
        <w:numPr>
          <w:ilvl w:val="0"/>
          <w:numId w:val="4"/>
        </w:numPr>
        <w:tabs>
          <w:tab w:val="left" w:pos="630"/>
        </w:tabs>
        <w:ind w:left="360"/>
        <w:rPr>
          <w:color w:val="000000" w:themeColor="text1"/>
        </w:rPr>
      </w:pPr>
      <w:r w:rsidRPr="005D4BF8">
        <w:rPr>
          <w:color w:val="000000" w:themeColor="text1"/>
        </w:rPr>
        <w:t xml:space="preserve">Scans for links and potential implications of proposed policy options. </w:t>
      </w:r>
    </w:p>
    <w:p w14:paraId="107A3831" w14:textId="77777777" w:rsidR="007606C7" w:rsidRDefault="007606C7" w:rsidP="007606C7">
      <w:pPr>
        <w:pStyle w:val="ListParagraph"/>
        <w:numPr>
          <w:ilvl w:val="0"/>
          <w:numId w:val="4"/>
        </w:numPr>
        <w:tabs>
          <w:tab w:val="left" w:pos="630"/>
        </w:tabs>
        <w:ind w:left="360"/>
        <w:rPr>
          <w:color w:val="000000" w:themeColor="text1"/>
        </w:rPr>
      </w:pPr>
      <w:r w:rsidRPr="005D4BF8">
        <w:rPr>
          <w:color w:val="000000" w:themeColor="text1"/>
        </w:rPr>
        <w:t xml:space="preserve">Keeps </w:t>
      </w:r>
      <w:proofErr w:type="gramStart"/>
      <w:r w:rsidRPr="005D4BF8">
        <w:rPr>
          <w:color w:val="000000" w:themeColor="text1"/>
        </w:rPr>
        <w:t>up-to-date</w:t>
      </w:r>
      <w:proofErr w:type="gramEnd"/>
      <w:r w:rsidRPr="005D4BF8">
        <w:rPr>
          <w:color w:val="000000" w:themeColor="text1"/>
        </w:rPr>
        <w:t xml:space="preserve"> with a broad range of contemporary issues.</w:t>
      </w:r>
    </w:p>
    <w:p w14:paraId="3C86DB72" w14:textId="77777777" w:rsidR="002C1624" w:rsidRPr="005D4BF8" w:rsidRDefault="002C1624" w:rsidP="002C1624">
      <w:pPr>
        <w:rPr>
          <w:b/>
          <w:bCs/>
          <w:color w:val="000000" w:themeColor="text1"/>
        </w:rPr>
      </w:pPr>
      <w:r w:rsidRPr="005D4BF8">
        <w:rPr>
          <w:b/>
          <w:bCs/>
          <w:color w:val="000000" w:themeColor="text1"/>
        </w:rPr>
        <w:t>Influence and Negotiation:</w:t>
      </w:r>
    </w:p>
    <w:p w14:paraId="1C9D89A5" w14:textId="77777777" w:rsidR="002C1624" w:rsidRPr="005D4BF8" w:rsidRDefault="002C1624" w:rsidP="002C1624">
      <w:pPr>
        <w:pStyle w:val="ListParagraph"/>
        <w:numPr>
          <w:ilvl w:val="0"/>
          <w:numId w:val="6"/>
        </w:numPr>
        <w:tabs>
          <w:tab w:val="left" w:pos="360"/>
        </w:tabs>
        <w:ind w:left="450"/>
        <w:rPr>
          <w:color w:val="000000" w:themeColor="text1"/>
        </w:rPr>
      </w:pPr>
      <w:r w:rsidRPr="005D4BF8">
        <w:rPr>
          <w:color w:val="000000" w:themeColor="text1"/>
        </w:rPr>
        <w:t>Develops long-term, complex and multi-phased plans to influence others.</w:t>
      </w:r>
    </w:p>
    <w:p w14:paraId="62B641A0" w14:textId="77777777" w:rsidR="002C1624" w:rsidRPr="005D4BF8" w:rsidRDefault="002C1624" w:rsidP="002C1624">
      <w:pPr>
        <w:pStyle w:val="ListParagraph"/>
        <w:numPr>
          <w:ilvl w:val="0"/>
          <w:numId w:val="6"/>
        </w:numPr>
        <w:tabs>
          <w:tab w:val="left" w:pos="360"/>
        </w:tabs>
        <w:ind w:left="360" w:hanging="270"/>
        <w:rPr>
          <w:color w:val="000000" w:themeColor="text1"/>
        </w:rPr>
      </w:pPr>
      <w:r w:rsidRPr="005D4BF8">
        <w:rPr>
          <w:color w:val="000000" w:themeColor="text1"/>
        </w:rPr>
        <w:t>Implements complex strategies to build buy-in and support from key internal and external clients or stakeholders.</w:t>
      </w:r>
    </w:p>
    <w:p w14:paraId="05008A4B" w14:textId="77777777" w:rsidR="002C1624" w:rsidRPr="005D4BF8" w:rsidRDefault="002C1624" w:rsidP="002C1624">
      <w:pPr>
        <w:pStyle w:val="ListParagraph"/>
        <w:numPr>
          <w:ilvl w:val="0"/>
          <w:numId w:val="6"/>
        </w:numPr>
        <w:tabs>
          <w:tab w:val="left" w:pos="360"/>
        </w:tabs>
        <w:ind w:left="450"/>
        <w:rPr>
          <w:color w:val="000000" w:themeColor="text1"/>
        </w:rPr>
      </w:pPr>
      <w:r w:rsidRPr="005D4BF8">
        <w:rPr>
          <w:color w:val="000000" w:themeColor="text1"/>
        </w:rPr>
        <w:t>Uses a variety of different influencing approaches tailored to different clients.</w:t>
      </w:r>
    </w:p>
    <w:p w14:paraId="00C619B2" w14:textId="77777777" w:rsidR="002C1624" w:rsidRPr="005D4BF8" w:rsidRDefault="002C1624" w:rsidP="002C1624">
      <w:pPr>
        <w:pStyle w:val="ListParagraph"/>
        <w:numPr>
          <w:ilvl w:val="0"/>
          <w:numId w:val="6"/>
        </w:numPr>
        <w:tabs>
          <w:tab w:val="left" w:pos="360"/>
        </w:tabs>
        <w:ind w:left="450"/>
        <w:rPr>
          <w:color w:val="000000" w:themeColor="text1"/>
        </w:rPr>
      </w:pPr>
      <w:r w:rsidRPr="005D4BF8">
        <w:rPr>
          <w:color w:val="000000" w:themeColor="text1"/>
        </w:rPr>
        <w:t>Effectively negotiates with clients/stakeholders to achieve desired outcomes.</w:t>
      </w:r>
    </w:p>
    <w:p w14:paraId="3181BF9F" w14:textId="77777777" w:rsidR="007606C7" w:rsidRPr="005D4BF8" w:rsidRDefault="007606C7" w:rsidP="007606C7">
      <w:pPr>
        <w:rPr>
          <w:b/>
          <w:bCs/>
          <w:color w:val="000000" w:themeColor="text1"/>
        </w:rPr>
      </w:pPr>
      <w:r w:rsidRPr="005D4BF8">
        <w:rPr>
          <w:b/>
          <w:bCs/>
          <w:color w:val="000000" w:themeColor="text1"/>
        </w:rPr>
        <w:t>Stakeholder Management:</w:t>
      </w:r>
    </w:p>
    <w:p w14:paraId="59A0F972" w14:textId="77777777" w:rsidR="007606C7" w:rsidRPr="005D4BF8" w:rsidRDefault="007606C7" w:rsidP="007606C7">
      <w:pPr>
        <w:pStyle w:val="ListParagraph"/>
        <w:numPr>
          <w:ilvl w:val="0"/>
          <w:numId w:val="7"/>
        </w:numPr>
        <w:ind w:left="360"/>
        <w:rPr>
          <w:color w:val="000000" w:themeColor="text1"/>
        </w:rPr>
      </w:pPr>
      <w:r w:rsidRPr="005D4BF8">
        <w:rPr>
          <w:color w:val="000000" w:themeColor="text1"/>
        </w:rPr>
        <w:t>Identifies and manages a range of complex and often competing needs.</w:t>
      </w:r>
    </w:p>
    <w:p w14:paraId="0F8E7D95" w14:textId="77777777" w:rsidR="007606C7" w:rsidRPr="005D4BF8" w:rsidRDefault="007606C7" w:rsidP="007606C7">
      <w:pPr>
        <w:pStyle w:val="ListParagraph"/>
        <w:numPr>
          <w:ilvl w:val="0"/>
          <w:numId w:val="7"/>
        </w:numPr>
        <w:ind w:left="360"/>
        <w:rPr>
          <w:color w:val="000000" w:themeColor="text1"/>
        </w:rPr>
      </w:pPr>
      <w:r w:rsidRPr="005D4BF8">
        <w:rPr>
          <w:color w:val="000000" w:themeColor="text1"/>
        </w:rPr>
        <w:t>Identifies issues in common for one or more stakeholders and uses them to build mutually beneficial partnerships.</w:t>
      </w:r>
    </w:p>
    <w:p w14:paraId="68747792" w14:textId="77777777" w:rsidR="007606C7" w:rsidRPr="005D4BF8" w:rsidRDefault="007606C7" w:rsidP="007606C7">
      <w:pPr>
        <w:pStyle w:val="ListParagraph"/>
        <w:numPr>
          <w:ilvl w:val="0"/>
          <w:numId w:val="7"/>
        </w:numPr>
        <w:ind w:left="360"/>
        <w:rPr>
          <w:color w:val="000000" w:themeColor="text1"/>
        </w:rPr>
      </w:pPr>
      <w:r w:rsidRPr="005D4BF8">
        <w:rPr>
          <w:color w:val="000000" w:themeColor="text1"/>
        </w:rPr>
        <w:t>Finds innovative solutions to resolve stakeholder issues.</w:t>
      </w:r>
    </w:p>
    <w:p w14:paraId="571C0FF4" w14:textId="77777777" w:rsidR="007606C7" w:rsidRPr="005D4BF8" w:rsidRDefault="007606C7" w:rsidP="007606C7">
      <w:pPr>
        <w:pStyle w:val="ListParagraph"/>
        <w:numPr>
          <w:ilvl w:val="0"/>
          <w:numId w:val="7"/>
        </w:numPr>
        <w:ind w:left="360"/>
        <w:rPr>
          <w:color w:val="000000" w:themeColor="text1"/>
        </w:rPr>
      </w:pPr>
      <w:r w:rsidRPr="005D4BF8">
        <w:rPr>
          <w:color w:val="000000" w:themeColor="text1"/>
        </w:rPr>
        <w:t>Ability to convey complex information in plain English.</w:t>
      </w:r>
    </w:p>
    <w:p w14:paraId="4AD468DA" w14:textId="77777777" w:rsidR="002C1624" w:rsidRPr="005D4BF8" w:rsidRDefault="002C1624" w:rsidP="002C1624">
      <w:pPr>
        <w:rPr>
          <w:b/>
          <w:bCs/>
          <w:color w:val="000000" w:themeColor="text1"/>
        </w:rPr>
      </w:pPr>
      <w:r w:rsidRPr="005D4BF8">
        <w:rPr>
          <w:b/>
          <w:bCs/>
          <w:color w:val="000000" w:themeColor="text1"/>
        </w:rPr>
        <w:t>Problem Solving:</w:t>
      </w:r>
    </w:p>
    <w:p w14:paraId="51C74CF6" w14:textId="77777777" w:rsidR="002C1624" w:rsidRPr="005D4BF8" w:rsidRDefault="002C1624" w:rsidP="002C1624">
      <w:pPr>
        <w:pStyle w:val="ListParagraph"/>
        <w:numPr>
          <w:ilvl w:val="0"/>
          <w:numId w:val="5"/>
        </w:numPr>
        <w:ind w:left="360"/>
        <w:rPr>
          <w:color w:val="000000" w:themeColor="text1"/>
        </w:rPr>
      </w:pPr>
      <w:r w:rsidRPr="005D4BF8">
        <w:rPr>
          <w:color w:val="000000" w:themeColor="text1"/>
        </w:rPr>
        <w:t>Anticipates potential problems and pre-empts required actions.</w:t>
      </w:r>
    </w:p>
    <w:p w14:paraId="65E04F88" w14:textId="77777777" w:rsidR="002C1624" w:rsidRPr="005D4BF8" w:rsidRDefault="002C1624" w:rsidP="002C1624">
      <w:pPr>
        <w:pStyle w:val="ListParagraph"/>
        <w:numPr>
          <w:ilvl w:val="0"/>
          <w:numId w:val="5"/>
        </w:numPr>
        <w:ind w:left="360"/>
        <w:rPr>
          <w:color w:val="000000" w:themeColor="text1"/>
        </w:rPr>
      </w:pPr>
      <w:r w:rsidRPr="005D4BF8">
        <w:rPr>
          <w:color w:val="000000" w:themeColor="text1"/>
        </w:rPr>
        <w:t>Continually liaises with key stakeholders to ensure full understanding of the issues.</w:t>
      </w:r>
    </w:p>
    <w:p w14:paraId="69581043" w14:textId="77777777" w:rsidR="002C1624" w:rsidRPr="005D4BF8" w:rsidRDefault="002C1624" w:rsidP="002C1624">
      <w:pPr>
        <w:pStyle w:val="ListParagraph"/>
        <w:numPr>
          <w:ilvl w:val="0"/>
          <w:numId w:val="5"/>
        </w:numPr>
        <w:ind w:left="360"/>
        <w:rPr>
          <w:color w:val="000000" w:themeColor="text1"/>
        </w:rPr>
      </w:pPr>
      <w:r w:rsidRPr="005D4BF8">
        <w:rPr>
          <w:color w:val="000000" w:themeColor="text1"/>
        </w:rPr>
        <w:t>Evaluates implemented courses of action and adjusts as required.</w:t>
      </w:r>
    </w:p>
    <w:p w14:paraId="2BD092BA" w14:textId="77777777" w:rsidR="002C1624" w:rsidRPr="000E471C" w:rsidRDefault="002C1624" w:rsidP="002C1624">
      <w:pPr>
        <w:pStyle w:val="ListParagraph"/>
        <w:tabs>
          <w:tab w:val="left" w:pos="630"/>
        </w:tabs>
        <w:spacing w:after="0"/>
        <w:ind w:left="360"/>
        <w:rPr>
          <w:color w:val="000000" w:themeColor="text1"/>
        </w:rPr>
      </w:pPr>
    </w:p>
    <w:p w14:paraId="7B99AC07" w14:textId="77777777" w:rsidR="002C1624" w:rsidRPr="00495B3B" w:rsidRDefault="002C1624" w:rsidP="002C1624">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
        <w:tblW w:w="0" w:type="auto"/>
        <w:tblLook w:val="04A0" w:firstRow="1" w:lastRow="0" w:firstColumn="1" w:lastColumn="0" w:noHBand="0" w:noVBand="1"/>
      </w:tblPr>
      <w:tblGrid>
        <w:gridCol w:w="3402"/>
        <w:gridCol w:w="6803"/>
      </w:tblGrid>
      <w:tr w:rsidR="002C1624" w:rsidRPr="00495B3B" w14:paraId="57671521" w14:textId="77777777" w:rsidTr="003A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51698D2A" w14:textId="77777777" w:rsidR="002C1624" w:rsidRPr="005E5B9E" w:rsidRDefault="002C1624" w:rsidP="003A7972">
            <w:pPr>
              <w:rPr>
                <w:rFonts w:cs="Arial"/>
                <w:color w:val="auto"/>
              </w:rPr>
            </w:pPr>
            <w:r w:rsidRPr="005E5B9E">
              <w:rPr>
                <w:rFonts w:cs="Arial"/>
                <w:color w:val="auto"/>
              </w:rPr>
              <w:t>Financial Delegation Value</w:t>
            </w:r>
          </w:p>
        </w:tc>
        <w:tc>
          <w:tcPr>
            <w:tcW w:w="6803" w:type="dxa"/>
            <w:shd w:val="clear" w:color="auto" w:fill="auto"/>
          </w:tcPr>
          <w:p w14:paraId="59597194" w14:textId="77777777" w:rsidR="002C1624" w:rsidRPr="005E5B9E" w:rsidRDefault="002C1624" w:rsidP="003A7972">
            <w:pPr>
              <w:cnfStyle w:val="100000000000" w:firstRow="1" w:lastRow="0" w:firstColumn="0" w:lastColumn="0" w:oddVBand="0" w:evenVBand="0" w:oddHBand="0" w:evenHBand="0" w:firstRowFirstColumn="0" w:firstRowLastColumn="0" w:lastRowFirstColumn="0" w:lastRowLastColumn="0"/>
              <w:rPr>
                <w:rFonts w:cs="Arial"/>
                <w:color w:val="auto"/>
              </w:rPr>
            </w:pPr>
            <w:r>
              <w:rPr>
                <w:rFonts w:cs="Arial"/>
                <w:color w:val="auto"/>
              </w:rPr>
              <w:t xml:space="preserve">$0. </w:t>
            </w:r>
            <w:r w:rsidRPr="005E5B9E">
              <w:rPr>
                <w:rFonts w:cs="Arial"/>
                <w:color w:val="auto"/>
              </w:rPr>
              <w:t>A declaration of Private Interests will be required for positions with financial delegations of &gt;$20,000</w:t>
            </w:r>
          </w:p>
        </w:tc>
      </w:tr>
      <w:tr w:rsidR="002C1624" w:rsidRPr="00495B3B" w14:paraId="0C0C61E7" w14:textId="77777777" w:rsidTr="003A797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8A26F14" w14:textId="77777777" w:rsidR="002C1624" w:rsidRPr="005E5B9E" w:rsidRDefault="002C1624" w:rsidP="003A7972">
            <w:pPr>
              <w:spacing w:line="240" w:lineRule="auto"/>
              <w:contextualSpacing/>
              <w:outlineLvl w:val="1"/>
              <w:rPr>
                <w:rFonts w:ascii="Arial" w:hAnsi="Arial" w:cs="Arial"/>
                <w:color w:val="auto"/>
              </w:rPr>
            </w:pPr>
            <w:r w:rsidRPr="005E5B9E">
              <w:rPr>
                <w:rFonts w:ascii="Arial" w:hAnsi="Arial" w:cs="Arial"/>
                <w:color w:val="auto"/>
              </w:rPr>
              <w:t>The occupational health and safety    requirements of this position may include, but are not limited to:</w:t>
            </w:r>
          </w:p>
        </w:tc>
        <w:tc>
          <w:tcPr>
            <w:tcW w:w="6803" w:type="dxa"/>
            <w:shd w:val="clear" w:color="auto" w:fill="auto"/>
          </w:tcPr>
          <w:p w14:paraId="7A8C0ECE" w14:textId="77777777" w:rsidR="002C1624" w:rsidRPr="005E5B9E" w:rsidRDefault="002C1624" w:rsidP="002C1624">
            <w:pPr>
              <w:numPr>
                <w:ilvl w:val="0"/>
                <w:numId w:val="2"/>
              </w:numPr>
              <w:spacing w:before="60"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E5B9E">
              <w:rPr>
                <w:rFonts w:ascii="Arial" w:hAnsi="Arial" w:cs="Arial"/>
                <w:color w:val="auto"/>
              </w:rPr>
              <w:t>Sedentary desk work</w:t>
            </w:r>
          </w:p>
          <w:p w14:paraId="6A20EC0B" w14:textId="77777777" w:rsidR="002C1624" w:rsidRPr="005E5B9E" w:rsidRDefault="002C1624" w:rsidP="003A7972">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2C1624" w:rsidRPr="00495B3B" w14:paraId="7F4FA1DB" w14:textId="77777777" w:rsidTr="003A79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21490B7" w14:textId="77777777" w:rsidR="002C1624" w:rsidRPr="005E5B9E" w:rsidRDefault="002C1624" w:rsidP="003A7972">
            <w:pPr>
              <w:rPr>
                <w:rFonts w:ascii="Arial" w:hAnsi="Arial" w:cs="Arial"/>
                <w:color w:val="auto"/>
              </w:rPr>
            </w:pPr>
            <w:r w:rsidRPr="005E5B9E">
              <w:rPr>
                <w:rFonts w:ascii="Arial" w:hAnsi="Arial" w:cs="Arial"/>
                <w:color w:val="auto"/>
              </w:rPr>
              <w:t xml:space="preserve">DEECA will conduct relevant checks about applicants and the information provided within an application. Checks will include but are not limited to: </w:t>
            </w:r>
          </w:p>
        </w:tc>
        <w:tc>
          <w:tcPr>
            <w:tcW w:w="6803" w:type="dxa"/>
            <w:shd w:val="clear" w:color="auto" w:fill="auto"/>
          </w:tcPr>
          <w:p w14:paraId="7A00A65A" w14:textId="77777777" w:rsidR="002C1624" w:rsidRPr="005E5B9E" w:rsidRDefault="002C1624" w:rsidP="003A7972">
            <w:pPr>
              <w:cnfStyle w:val="000000010000" w:firstRow="0" w:lastRow="0" w:firstColumn="0" w:lastColumn="0" w:oddVBand="0" w:evenVBand="0" w:oddHBand="0" w:evenHBand="1" w:firstRowFirstColumn="0" w:firstRowLastColumn="0" w:lastRowFirstColumn="0" w:lastRowLastColumn="0"/>
              <w:rPr>
                <w:rFonts w:ascii="Arial" w:hAnsi="Arial" w:cs="Arial"/>
                <w:color w:val="auto"/>
              </w:rPr>
            </w:pPr>
            <w:r w:rsidRPr="005E5B9E">
              <w:rPr>
                <w:rFonts w:ascii="Arial" w:hAnsi="Arial" w:cs="Arial"/>
                <w:color w:val="auto"/>
              </w:rPr>
              <w:t xml:space="preserve">A Declaration and Consent form consenting to DEECA contacting current and previous employer(s) to substantiate employment history, past conduct and performance is required. </w:t>
            </w:r>
          </w:p>
          <w:p w14:paraId="05FABDCA" w14:textId="77777777" w:rsidR="002C1624" w:rsidRPr="005E5B9E" w:rsidRDefault="002C1624" w:rsidP="003A7972">
            <w:pPr>
              <w:cnfStyle w:val="000000010000" w:firstRow="0" w:lastRow="0" w:firstColumn="0" w:lastColumn="0" w:oddVBand="0" w:evenVBand="0" w:oddHBand="0" w:evenHBand="1" w:firstRowFirstColumn="0" w:firstRowLastColumn="0" w:lastRowFirstColumn="0" w:lastRowLastColumn="0"/>
              <w:rPr>
                <w:rFonts w:ascii="Arial" w:hAnsi="Arial" w:cs="Arial"/>
                <w:color w:val="auto"/>
              </w:rPr>
            </w:pPr>
            <w:r w:rsidRPr="005E5B9E">
              <w:rPr>
                <w:rFonts w:ascii="Arial" w:hAnsi="Arial" w:cs="Arial"/>
                <w:color w:val="auto"/>
              </w:rPr>
              <w:t>A satisfactory National Police Check will be required (for all non-DEECA employees).</w:t>
            </w:r>
          </w:p>
        </w:tc>
      </w:tr>
      <w:bookmarkEnd w:id="2"/>
      <w:tr w:rsidR="002C1624" w:rsidRPr="00495B3B" w14:paraId="42AA4578" w14:textId="77777777" w:rsidTr="003A797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D014698" w14:textId="77777777" w:rsidR="002C1624" w:rsidRPr="005E5B9E" w:rsidRDefault="002C1624" w:rsidP="003A7972">
            <w:pPr>
              <w:rPr>
                <w:rFonts w:ascii="Arial" w:hAnsi="Arial"/>
                <w:color w:val="auto"/>
              </w:rPr>
            </w:pPr>
            <w:r w:rsidRPr="005E5B9E">
              <w:rPr>
                <w:rFonts w:ascii="Arial" w:hAnsi="Arial"/>
                <w:color w:val="auto"/>
              </w:rPr>
              <w:t>Employment terms and conditions</w:t>
            </w:r>
          </w:p>
          <w:p w14:paraId="24FE0EC3" w14:textId="77777777" w:rsidR="002C1624" w:rsidRPr="005E5B9E" w:rsidRDefault="002C1624" w:rsidP="003A7972">
            <w:pPr>
              <w:rPr>
                <w:rFonts w:ascii="Arial" w:hAnsi="Arial"/>
                <w:color w:val="auto"/>
              </w:rPr>
            </w:pPr>
          </w:p>
        </w:tc>
        <w:tc>
          <w:tcPr>
            <w:tcW w:w="6803" w:type="dxa"/>
            <w:shd w:val="clear" w:color="auto" w:fill="auto"/>
          </w:tcPr>
          <w:p w14:paraId="418904A3" w14:textId="77777777" w:rsidR="002C1624" w:rsidRPr="005E5B9E" w:rsidRDefault="002C1624" w:rsidP="003A797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5E5B9E">
              <w:rPr>
                <w:rFonts w:ascii="Arial" w:hAnsi="Arial" w:cs="Arial"/>
                <w:color w:val="auto"/>
              </w:rPr>
              <w:t xml:space="preserve">Are governed by the </w:t>
            </w:r>
            <w:r w:rsidRPr="005E5B9E">
              <w:rPr>
                <w:rFonts w:ascii="Arial" w:hAnsi="Arial" w:cs="Arial"/>
                <w:i/>
                <w:iCs/>
                <w:color w:val="auto"/>
              </w:rPr>
              <w:t>Victorian Public Service Enterprise Agreement 2024</w:t>
            </w:r>
            <w:r w:rsidRPr="005E5B9E">
              <w:rPr>
                <w:rFonts w:ascii="Arial" w:hAnsi="Arial" w:cs="Arial"/>
                <w:color w:val="auto"/>
              </w:rPr>
              <w:t xml:space="preserve"> and the </w:t>
            </w:r>
            <w:r w:rsidRPr="005E5B9E">
              <w:rPr>
                <w:rFonts w:ascii="Arial" w:hAnsi="Arial" w:cs="Arial"/>
                <w:i/>
                <w:iCs/>
                <w:color w:val="auto"/>
              </w:rPr>
              <w:t>Public Administration Act</w:t>
            </w:r>
            <w:r w:rsidRPr="005E5B9E">
              <w:rPr>
                <w:rFonts w:ascii="Arial" w:hAnsi="Arial" w:cs="Arial"/>
                <w:color w:val="auto"/>
              </w:rPr>
              <w:t xml:space="preserve"> </w:t>
            </w:r>
            <w:r w:rsidRPr="005E5B9E">
              <w:rPr>
                <w:rFonts w:ascii="Arial" w:hAnsi="Arial" w:cs="Arial"/>
                <w:i/>
                <w:iCs/>
                <w:color w:val="auto"/>
              </w:rPr>
              <w:t>2004.</w:t>
            </w:r>
          </w:p>
          <w:p w14:paraId="4083CB17" w14:textId="77777777" w:rsidR="002C1624" w:rsidRDefault="002C1624" w:rsidP="003A7972">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E5B9E">
              <w:rPr>
                <w:rFonts w:ascii="Arial" w:hAnsi="Arial" w:cs="Arial"/>
                <w:color w:val="auto"/>
              </w:rPr>
              <w:t>Recipients of Victorian Public Service (VPS) voluntary departure packages should note that re-employment restrictions apply</w:t>
            </w:r>
            <w:r>
              <w:rPr>
                <w:rFonts w:ascii="Arial" w:hAnsi="Arial" w:cs="Arial"/>
                <w:color w:val="auto"/>
              </w:rPr>
              <w:t>.</w:t>
            </w:r>
          </w:p>
          <w:p w14:paraId="1B12FE16" w14:textId="77777777" w:rsidR="002C1624" w:rsidRPr="005E5B9E" w:rsidRDefault="002C1624" w:rsidP="003A7972">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E5B9E">
              <w:rPr>
                <w:rFonts w:ascii="Arial" w:hAnsi="Arial" w:cs="Arial"/>
                <w:color w:val="auto"/>
              </w:rPr>
              <w:t>Non-</w:t>
            </w:r>
            <w:smartTag w:uri="urn:schemas-microsoft-com:office:smarttags" w:element="stockticker">
              <w:r w:rsidRPr="005E5B9E">
                <w:rPr>
                  <w:rFonts w:ascii="Arial" w:hAnsi="Arial" w:cs="Arial"/>
                  <w:color w:val="auto"/>
                </w:rPr>
                <w:t>VPS</w:t>
              </w:r>
            </w:smartTag>
            <w:r w:rsidRPr="005E5B9E">
              <w:rPr>
                <w:rFonts w:ascii="Arial" w:hAnsi="Arial" w:cs="Arial"/>
                <w:color w:val="auto"/>
              </w:rPr>
              <w:t xml:space="preserve"> applicants will be subject to a probation period of six months</w:t>
            </w:r>
            <w:r>
              <w:rPr>
                <w:rFonts w:ascii="Arial" w:hAnsi="Arial" w:cs="Arial"/>
                <w:color w:val="auto"/>
              </w:rPr>
              <w:t>.</w:t>
            </w:r>
          </w:p>
        </w:tc>
      </w:tr>
      <w:tr w:rsidR="002C1624" w:rsidRPr="00495B3B" w14:paraId="0BAE56F3" w14:textId="77777777" w:rsidTr="003A79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937DE45" w14:textId="77777777" w:rsidR="002C1624" w:rsidRPr="005E5B9E" w:rsidRDefault="002C1624" w:rsidP="003A7972">
            <w:pPr>
              <w:rPr>
                <w:rFonts w:ascii="Arial" w:hAnsi="Arial"/>
                <w:color w:val="auto"/>
              </w:rPr>
            </w:pPr>
            <w:r w:rsidRPr="005E5B9E">
              <w:rPr>
                <w:rFonts w:ascii="Arial" w:hAnsi="Arial"/>
                <w:color w:val="auto"/>
              </w:rPr>
              <w:t xml:space="preserve">Privacy </w:t>
            </w:r>
          </w:p>
        </w:tc>
        <w:tc>
          <w:tcPr>
            <w:tcW w:w="6803" w:type="dxa"/>
            <w:shd w:val="clear" w:color="auto" w:fill="auto"/>
          </w:tcPr>
          <w:p w14:paraId="0F56B019" w14:textId="77777777" w:rsidR="002C1624" w:rsidRPr="005E5B9E" w:rsidRDefault="002C1624" w:rsidP="003A7972">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auto"/>
              </w:rPr>
            </w:pPr>
            <w:r w:rsidRPr="005E5B9E">
              <w:rPr>
                <w:rFonts w:ascii="Arial" w:hAnsi="Arial" w:cs="Arial"/>
                <w:color w:val="auto"/>
              </w:rPr>
              <w:t>The department affirms that the collection and handling of applications         and personal information will be consistent with the requirements of the Privacy and Data Protection Act 2014.</w:t>
            </w:r>
          </w:p>
        </w:tc>
      </w:tr>
    </w:tbl>
    <w:p w14:paraId="3A4A4DAB" w14:textId="77777777" w:rsidR="002C1624" w:rsidRPr="00495B3B" w:rsidRDefault="002C1624" w:rsidP="002C162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4F926519" w14:textId="77777777" w:rsidR="002C1624" w:rsidRPr="005E5B9E" w:rsidRDefault="002C1624" w:rsidP="002C1624">
      <w:pPr>
        <w:spacing w:before="0" w:after="0"/>
        <w:rPr>
          <w:rFonts w:ascii="Arial" w:hAnsi="Arial" w:cs="Arial"/>
        </w:rPr>
      </w:pPr>
      <w:r w:rsidRPr="005E5B9E">
        <w:rPr>
          <w:rFonts w:ascii="Arial" w:hAnsi="Arial" w:cs="Arial"/>
        </w:rPr>
        <w:t xml:space="preserve">We employ more than 6,500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E5B9E">
        <w:rPr>
          <w:rFonts w:ascii="Arial" w:hAnsi="Arial" w:cs="Arial"/>
        </w:rPr>
        <w:t>them</w:t>
      </w:r>
      <w:proofErr w:type="gramEnd"/>
      <w:r w:rsidRPr="005E5B9E">
        <w:rPr>
          <w:rFonts w:ascii="Arial" w:hAnsi="Arial" w:cs="Arial"/>
        </w:rPr>
        <w:t xml:space="preserve"> and we collaborate across our portfolios to design and deliver services and programs.</w:t>
      </w:r>
    </w:p>
    <w:p w14:paraId="3E3D50F7" w14:textId="77777777" w:rsidR="002C1624" w:rsidRPr="005E5B9E" w:rsidRDefault="002C1624" w:rsidP="002C1624">
      <w:pPr>
        <w:spacing w:before="0" w:after="0"/>
        <w:rPr>
          <w:rFonts w:ascii="Arial" w:hAnsi="Arial" w:cs="Arial"/>
        </w:rPr>
      </w:pPr>
    </w:p>
    <w:p w14:paraId="5157E840" w14:textId="77777777" w:rsidR="002C1624" w:rsidRPr="005E5B9E" w:rsidRDefault="002C1624" w:rsidP="002C1624">
      <w:pPr>
        <w:spacing w:before="0" w:after="0" w:line="480" w:lineRule="auto"/>
        <w:rPr>
          <w:rFonts w:ascii="Arial" w:hAnsi="Arial" w:cs="Arial"/>
          <w:lang w:eastAsia="en-US"/>
        </w:rPr>
      </w:pPr>
      <w:r w:rsidRPr="005E5B9E">
        <w:rPr>
          <w:rFonts w:ascii="Arial" w:hAnsi="Arial" w:cs="Arial"/>
          <w:lang w:eastAsia="en-US"/>
        </w:rPr>
        <w:t xml:space="preserve">For further information about the department, please visit our website </w:t>
      </w:r>
      <w:hyperlink r:id="rId15" w:history="1">
        <w:r w:rsidRPr="005E5B9E">
          <w:rPr>
            <w:rStyle w:val="Hyperlink"/>
            <w:rFonts w:ascii="Arial" w:hAnsi="Arial" w:cs="Arial"/>
            <w:color w:val="auto"/>
            <w:lang w:eastAsia="en-US"/>
          </w:rPr>
          <w:t>www.deeca.vic.gov.au</w:t>
        </w:r>
      </w:hyperlink>
    </w:p>
    <w:p w14:paraId="3475B4E5" w14:textId="77777777" w:rsidR="002C1624" w:rsidRPr="00495B3B" w:rsidRDefault="002C1624" w:rsidP="002C162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2A98046" w14:textId="77777777" w:rsidR="002C1624" w:rsidRDefault="002C1624" w:rsidP="002C1624">
      <w:pPr>
        <w:spacing w:before="0" w:after="0" w:line="240" w:lineRule="auto"/>
        <w:rPr>
          <w:rFonts w:ascii="Arial" w:hAnsi="Arial" w:cs="Arial"/>
        </w:rPr>
      </w:pPr>
      <w:r w:rsidRPr="005E5B9E">
        <w:rPr>
          <w:rFonts w:ascii="Arial" w:hAnsi="Arial" w:cs="Arial"/>
        </w:rPr>
        <w:t xml:space="preserve">Our values align with the core </w:t>
      </w:r>
      <w:hyperlink r:id="rId16" w:history="1">
        <w:r w:rsidRPr="005E5B9E">
          <w:rPr>
            <w:rStyle w:val="Hyperlink"/>
            <w:rFonts w:ascii="Arial" w:hAnsi="Arial" w:cs="Arial"/>
            <w:color w:val="auto"/>
          </w:rPr>
          <w:t>Public Sector values</w:t>
        </w:r>
      </w:hyperlink>
      <w:r w:rsidRPr="005E5B9E">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BAAB10E" w14:textId="77777777" w:rsidR="002C1624" w:rsidRPr="005E5B9E" w:rsidRDefault="002C1624" w:rsidP="002C1624">
      <w:pPr>
        <w:spacing w:before="0" w:after="0" w:line="240" w:lineRule="auto"/>
        <w:rPr>
          <w:rFonts w:ascii="Arial" w:hAnsi="Arial" w:cs="Arial"/>
        </w:rPr>
      </w:pPr>
    </w:p>
    <w:p w14:paraId="3E5745B2" w14:textId="77777777" w:rsidR="002C1624" w:rsidRPr="00AC1638" w:rsidRDefault="002C1624" w:rsidP="002C162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198ED0" w14:textId="77777777" w:rsidR="002C1624" w:rsidRPr="005E5B9E" w:rsidRDefault="002C1624" w:rsidP="002C1624">
      <w:pPr>
        <w:spacing w:before="0" w:after="0" w:line="240" w:lineRule="auto"/>
        <w:rPr>
          <w:rFonts w:ascii="Arial" w:hAnsi="Arial" w:cs="Arial"/>
        </w:rPr>
      </w:pPr>
      <w:r w:rsidRPr="005E5B9E">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5E5B9E">
        <w:rPr>
          <w:rFonts w:ascii="Arial" w:hAnsi="Arial" w:cs="Arial"/>
        </w:rPr>
        <w:t>take action</w:t>
      </w:r>
      <w:proofErr w:type="gramEnd"/>
      <w:r w:rsidRPr="005E5B9E">
        <w:rPr>
          <w:rFonts w:ascii="Arial" w:hAnsi="Arial" w:cs="Arial"/>
        </w:rPr>
        <w:t xml:space="preserve"> as we deliver services and create opportunities that supports thriving, productive, and sustainable communities, environments and industries. </w:t>
      </w:r>
    </w:p>
    <w:p w14:paraId="3088908A" w14:textId="77777777" w:rsidR="002C1624" w:rsidRPr="00495B3B" w:rsidRDefault="002C1624" w:rsidP="002C162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21DC2D9" w14:textId="77777777" w:rsidR="002C1624" w:rsidRPr="005E5B9E" w:rsidRDefault="002C1624" w:rsidP="002C1624">
      <w:pPr>
        <w:spacing w:line="240" w:lineRule="auto"/>
        <w:contextualSpacing/>
        <w:outlineLvl w:val="1"/>
        <w:rPr>
          <w:rFonts w:ascii="Arial" w:hAnsi="Arial" w:cs="Arial"/>
        </w:rPr>
      </w:pPr>
      <w:r w:rsidRPr="005E5B9E">
        <w:rPr>
          <w:rFonts w:ascii="Arial" w:hAnsi="Arial" w:cs="Arial"/>
        </w:rPr>
        <w:t>The department</w:t>
      </w:r>
      <w:r w:rsidRPr="005E5B9E">
        <w:rPr>
          <w:rFonts w:ascii="Arial" w:hAnsi="Arial" w:cs="Arial"/>
          <w:b/>
        </w:rPr>
        <w:t xml:space="preserve"> </w:t>
      </w:r>
      <w:r w:rsidRPr="005E5B9E">
        <w:rPr>
          <w:rFonts w:ascii="Arial" w:hAnsi="Arial" w:cs="Arial"/>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4AC8A199" w14:textId="77777777" w:rsidR="002C1624" w:rsidRPr="00495B3B" w:rsidRDefault="002C1624" w:rsidP="002C1624">
      <w:pPr>
        <w:spacing w:line="240" w:lineRule="auto"/>
        <w:contextualSpacing/>
        <w:outlineLvl w:val="1"/>
        <w:rPr>
          <w:rFonts w:ascii="Arial" w:hAnsi="Arial" w:cs="Arial"/>
          <w:color w:val="363534"/>
        </w:rPr>
      </w:pPr>
    </w:p>
    <w:p w14:paraId="0DEC4F37" w14:textId="77777777" w:rsidR="002C1624" w:rsidRPr="00495B3B" w:rsidRDefault="002C1624" w:rsidP="002C162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DA7B949" w14:textId="77777777" w:rsidR="002C1624" w:rsidRPr="005E5B9E" w:rsidRDefault="002C1624" w:rsidP="002C1624">
      <w:pPr>
        <w:spacing w:before="0" w:after="100" w:afterAutospacing="1" w:line="240" w:lineRule="auto"/>
        <w:rPr>
          <w:rFonts w:ascii="Arial" w:hAnsi="Arial" w:cs="Arial"/>
          <w:bCs/>
          <w:szCs w:val="22"/>
        </w:rPr>
      </w:pPr>
      <w:r w:rsidRPr="005E5B9E">
        <w:rPr>
          <w:rFonts w:ascii="Arial" w:hAnsi="Arial" w:cs="Arial"/>
          <w:szCs w:val="22"/>
        </w:rPr>
        <w:t xml:space="preserve">DEECA welcomes applicants from a diverse range of </w:t>
      </w:r>
      <w:proofErr w:type="gramStart"/>
      <w:r w:rsidRPr="005E5B9E">
        <w:rPr>
          <w:rFonts w:ascii="Arial" w:hAnsi="Arial" w:cs="Arial"/>
          <w:szCs w:val="22"/>
        </w:rPr>
        <w:t>backgrounds</w:t>
      </w:r>
      <w:proofErr w:type="gramEnd"/>
      <w:r w:rsidRPr="005E5B9E">
        <w:rPr>
          <w:rFonts w:ascii="Arial" w:hAnsi="Arial" w:cs="Arial"/>
          <w:szCs w:val="22"/>
        </w:rPr>
        <w:t xml:space="preserve"> </w:t>
      </w:r>
      <w:r w:rsidRPr="005E5B9E">
        <w:rPr>
          <w:rFonts w:ascii="Arial" w:eastAsia="Calibri" w:hAnsi="Arial" w:cs="Arial"/>
          <w:szCs w:val="22"/>
        </w:rPr>
        <w:t xml:space="preserve">and we focus on the essential requirements of the job and being consistent and fair in our treatment of all applicants. </w:t>
      </w:r>
      <w:r w:rsidRPr="005E5B9E">
        <w:rPr>
          <w:rFonts w:ascii="Arial" w:hAnsi="Arial" w:cs="Arial"/>
          <w:bCs/>
          <w:szCs w:val="22"/>
        </w:rPr>
        <w:t>Our diversity and inclusion outcome pillars:</w:t>
      </w:r>
    </w:p>
    <w:p w14:paraId="667C0A39" w14:textId="77777777" w:rsidR="002C1624" w:rsidRPr="005E5B9E" w:rsidRDefault="002C1624" w:rsidP="002C1624">
      <w:pPr>
        <w:spacing w:before="100" w:beforeAutospacing="1" w:after="100" w:afterAutospacing="1" w:line="240" w:lineRule="auto"/>
        <w:rPr>
          <w:rFonts w:ascii="Arial" w:hAnsi="Arial" w:cs="Arial"/>
          <w:szCs w:val="22"/>
        </w:rPr>
      </w:pPr>
      <w:r w:rsidRPr="005E5B9E">
        <w:rPr>
          <w:rFonts w:ascii="Arial" w:hAnsi="Arial" w:cs="Arial"/>
          <w:szCs w:val="22"/>
        </w:rPr>
        <w:t>1. We are connected to liveable, inclusive, sustainable communities</w:t>
      </w:r>
      <w:r w:rsidRPr="005E5B9E">
        <w:rPr>
          <w:rFonts w:ascii="Arial" w:hAnsi="Arial" w:cs="Arial"/>
          <w:szCs w:val="22"/>
        </w:rPr>
        <w:br/>
        <w:t xml:space="preserve">2. We are diverse </w:t>
      </w:r>
      <w:r w:rsidRPr="005E5B9E">
        <w:rPr>
          <w:rFonts w:ascii="Arial" w:hAnsi="Arial" w:cs="Arial"/>
          <w:szCs w:val="22"/>
        </w:rPr>
        <w:br/>
        <w:t xml:space="preserve">3. We are inclusive and flexible </w:t>
      </w:r>
      <w:r w:rsidRPr="005E5B9E">
        <w:rPr>
          <w:rFonts w:ascii="Arial" w:hAnsi="Arial" w:cs="Arial"/>
          <w:szCs w:val="22"/>
        </w:rPr>
        <w:br/>
        <w:t>4. We are safe and respectful</w:t>
      </w:r>
    </w:p>
    <w:p w14:paraId="3FA10B58" w14:textId="77777777" w:rsidR="002C1624" w:rsidRPr="005E5B9E" w:rsidRDefault="002C1624" w:rsidP="002C1624">
      <w:pPr>
        <w:spacing w:before="0" w:after="0"/>
        <w:rPr>
          <w:rFonts w:ascii="Arial" w:hAnsi="Arial" w:cs="Arial"/>
          <w:szCs w:val="22"/>
        </w:rPr>
      </w:pPr>
      <w:r w:rsidRPr="005E5B9E">
        <w:rPr>
          <w:rFonts w:ascii="Arial" w:eastAsia="Calibri" w:hAnsi="Arial" w:cs="Arial"/>
          <w:szCs w:val="22"/>
        </w:rPr>
        <w:t xml:space="preserve">DEECA </w:t>
      </w:r>
      <w:r w:rsidRPr="005E5B9E">
        <w:rPr>
          <w:rFonts w:ascii="Arial" w:hAnsi="Arial" w:cs="Arial"/>
          <w:szCs w:val="22"/>
        </w:rPr>
        <w:t>can provide reasonable adjustments for people with a disability. If you need assistance to fully participate in the application or interview process, please use the contact listed under ‘Position Details’.</w:t>
      </w:r>
    </w:p>
    <w:p w14:paraId="203CF242" w14:textId="77777777" w:rsidR="002C1624" w:rsidRPr="005E5B9E" w:rsidRDefault="002C1624" w:rsidP="002C1624">
      <w:pPr>
        <w:rPr>
          <w:rFonts w:ascii="Arial" w:hAnsi="Arial" w:cs="Arial"/>
          <w:b/>
          <w:bCs/>
        </w:rPr>
      </w:pPr>
      <w:r w:rsidRPr="005E5B9E">
        <w:rPr>
          <w:rFonts w:ascii="Arial" w:hAnsi="Arial" w:cs="Arial"/>
          <w:b/>
          <w:bCs/>
        </w:rPr>
        <w:t>Aboriginal Cultural Safety</w:t>
      </w:r>
    </w:p>
    <w:p w14:paraId="5D2685CC" w14:textId="77777777" w:rsidR="002C1624" w:rsidRPr="005E5B9E" w:rsidRDefault="002C1624" w:rsidP="002C1624">
      <w:pPr>
        <w:spacing w:before="0" w:after="0"/>
        <w:rPr>
          <w:rFonts w:ascii="Arial" w:hAnsi="Arial" w:cs="Arial"/>
        </w:rPr>
      </w:pPr>
      <w:r w:rsidRPr="005E5B9E">
        <w:rPr>
          <w:rFonts w:ascii="Arial" w:hAnsi="Arial" w:cs="Arial"/>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17" w:history="1">
        <w:r w:rsidRPr="005E5B9E">
          <w:rPr>
            <w:rStyle w:val="Hyperlink"/>
            <w:rFonts w:ascii="Arial" w:hAnsi="Arial" w:cs="Arial"/>
            <w:color w:val="auto"/>
          </w:rPr>
          <w:t>self.determination@deeca.vic.gov.au</w:t>
        </w:r>
      </w:hyperlink>
      <w:r w:rsidRPr="005E5B9E">
        <w:rPr>
          <w:rFonts w:ascii="Arial" w:hAnsi="Arial" w:cs="Arial"/>
        </w:rPr>
        <w:t>.</w:t>
      </w:r>
    </w:p>
    <w:p w14:paraId="29E7C950" w14:textId="77777777" w:rsidR="002C1624" w:rsidRPr="005E5B9E" w:rsidRDefault="002C1624" w:rsidP="002C1624">
      <w:pPr>
        <w:rPr>
          <w:rFonts w:ascii="Arial" w:hAnsi="Arial" w:cs="Arial"/>
          <w:b/>
          <w:szCs w:val="22"/>
        </w:rPr>
      </w:pPr>
      <w:r w:rsidRPr="005E5B9E">
        <w:rPr>
          <w:rFonts w:ascii="Arial" w:hAnsi="Arial" w:cs="Arial"/>
          <w:b/>
          <w:szCs w:val="22"/>
        </w:rPr>
        <w:t>Balancing your Life / Hybrid Working</w:t>
      </w:r>
    </w:p>
    <w:p w14:paraId="3C22D29C" w14:textId="77777777" w:rsidR="002C1624" w:rsidRPr="005E5B9E" w:rsidRDefault="002C1624" w:rsidP="002C1624">
      <w:pPr>
        <w:rPr>
          <w:rFonts w:ascii="Arial" w:eastAsia="Calibri" w:hAnsi="Arial" w:cs="Arial"/>
          <w:szCs w:val="22"/>
        </w:rPr>
      </w:pPr>
      <w:r w:rsidRPr="005E5B9E">
        <w:rPr>
          <w:rFonts w:ascii="Arial" w:eastAsia="Calibri" w:hAnsi="Arial" w:cs="Arial"/>
          <w:szCs w:val="22"/>
        </w:rPr>
        <w:t xml:space="preserve">We understand that a balanced life is important to our </w:t>
      </w:r>
      <w:proofErr w:type="gramStart"/>
      <w:r w:rsidRPr="005E5B9E">
        <w:rPr>
          <w:rFonts w:ascii="Arial" w:eastAsia="Calibri" w:hAnsi="Arial" w:cs="Arial"/>
          <w:szCs w:val="22"/>
        </w:rPr>
        <w:t>employees</w:t>
      </w:r>
      <w:proofErr w:type="gramEnd"/>
      <w:r w:rsidRPr="005E5B9E">
        <w:rPr>
          <w:rFonts w:ascii="Arial" w:eastAsia="Calibri" w:hAnsi="Arial" w:cs="Arial"/>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EF68EA1" w14:textId="77777777" w:rsidR="002C1624" w:rsidRPr="003E503C" w:rsidRDefault="002C1624" w:rsidP="002C1624">
      <w:pPr>
        <w:spacing w:line="240" w:lineRule="auto"/>
        <w:rPr>
          <w:rFonts w:ascii="Arial" w:eastAsia="Microsoft JhengHei" w:hAnsi="Arial" w:cs="Arial"/>
          <w:sz w:val="22"/>
          <w:szCs w:val="24"/>
          <w:u w:val="single"/>
          <w:lang w:eastAsia="en-US"/>
        </w:rPr>
      </w:pPr>
      <w:r w:rsidRPr="005E5B9E">
        <w:rPr>
          <w:rFonts w:ascii="Arial" w:hAnsi="Arial" w:cs="Arial"/>
          <w:sz w:val="24"/>
          <w:szCs w:val="24"/>
          <w:lang w:eastAsia="en-US"/>
        </w:rPr>
        <w:t>To receive this information in an accessible format (such as large print or audio) please call the Customer Service Centre: 136 186, TTY: 133 677, or email</w:t>
      </w:r>
      <w:r w:rsidRPr="005E5B9E">
        <w:rPr>
          <w:rFonts w:ascii="Arial" w:hAnsi="Arial" w:cs="Arial"/>
          <w:sz w:val="28"/>
          <w:szCs w:val="28"/>
          <w:lang w:eastAsia="en-US"/>
        </w:rPr>
        <w:t xml:space="preserve"> </w:t>
      </w:r>
      <w:hyperlink r:id="rId18" w:history="1">
        <w:r w:rsidRPr="005E5B9E">
          <w:rPr>
            <w:rStyle w:val="Hyperlink"/>
            <w:rFonts w:ascii="Arial" w:eastAsia="Microsoft JhengHei" w:hAnsi="Arial" w:cs="Arial"/>
            <w:color w:val="auto"/>
            <w:sz w:val="22"/>
            <w:szCs w:val="24"/>
            <w:lang w:eastAsia="en-US"/>
          </w:rPr>
          <w:t>customer.service@deeca.vic.gov.au</w:t>
        </w:r>
      </w:hyperlink>
    </w:p>
    <w:p w14:paraId="0B495C5F" w14:textId="77777777" w:rsidR="002C1624" w:rsidRDefault="002C1624"/>
    <w:sectPr w:rsidR="002C1624" w:rsidSect="002C1624">
      <w:headerReference w:type="default" r:id="rId1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A7B4" w14:textId="77777777" w:rsidR="00394F9B" w:rsidRDefault="00394F9B" w:rsidP="002C1624">
      <w:pPr>
        <w:spacing w:before="0" w:after="0" w:line="240" w:lineRule="auto"/>
      </w:pPr>
      <w:r>
        <w:separator/>
      </w:r>
    </w:p>
  </w:endnote>
  <w:endnote w:type="continuationSeparator" w:id="0">
    <w:p w14:paraId="16D9F6FB" w14:textId="77777777" w:rsidR="00394F9B" w:rsidRDefault="00394F9B" w:rsidP="002C16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ED66" w14:textId="18F8A2BE" w:rsidR="00293C1A" w:rsidRPr="00810C40" w:rsidRDefault="002C1624" w:rsidP="00C871F9">
    <w:pPr>
      <w:pStyle w:val="Footer"/>
    </w:pPr>
    <w:r>
      <w:rPr>
        <w:b/>
        <w:bCs w:val="0"/>
        <w:noProof/>
        <w14:ligatures w14:val="standardContextual"/>
      </w:rPr>
      <mc:AlternateContent>
        <mc:Choice Requires="wps">
          <w:drawing>
            <wp:anchor distT="0" distB="0" distL="0" distR="0" simplePos="0" relativeHeight="251663872" behindDoc="0" locked="0" layoutInCell="1" allowOverlap="1" wp14:anchorId="15881A95" wp14:editId="429F3197">
              <wp:simplePos x="635" y="635"/>
              <wp:positionH relativeFrom="page">
                <wp:align>center</wp:align>
              </wp:positionH>
              <wp:positionV relativeFrom="page">
                <wp:align>bottom</wp:align>
              </wp:positionV>
              <wp:extent cx="593725" cy="452755"/>
              <wp:effectExtent l="0" t="0" r="15875" b="0"/>
              <wp:wrapNone/>
              <wp:docPr id="1210333676"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452755"/>
                      </a:xfrm>
                      <a:prstGeom prst="rect">
                        <a:avLst/>
                      </a:prstGeom>
                      <a:noFill/>
                      <a:ln>
                        <a:noFill/>
                      </a:ln>
                    </wps:spPr>
                    <wps:txbx>
                      <w:txbxContent>
                        <w:p w14:paraId="564D5271" w14:textId="6F609416" w:rsidR="002C1624" w:rsidRPr="002C1624" w:rsidRDefault="002C1624" w:rsidP="002C1624">
                          <w:pPr>
                            <w:spacing w:after="0"/>
                            <w:rPr>
                              <w:rFonts w:ascii="Calibri" w:eastAsia="Calibri" w:hAnsi="Calibri" w:cs="Calibri"/>
                              <w:noProof/>
                              <w:color w:val="000000"/>
                              <w:sz w:val="24"/>
                              <w:szCs w:val="24"/>
                            </w:rPr>
                          </w:pPr>
                          <w:r w:rsidRPr="002C1624">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81A95" id="_x0000_t202" coordsize="21600,21600" o:spt="202" path="m,l,21600r21600,l21600,xe">
              <v:stroke joinstyle="miter"/>
              <v:path gradientshapeok="t" o:connecttype="rect"/>
            </v:shapetype>
            <v:shape id="Text Box 2" o:spid="_x0000_s1026" type="#_x0000_t202" alt="Unofficial" style="position:absolute;margin-left:0;margin-top:0;width:46.75pt;height:35.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" filled="f" stroked="f">
              <v:textbox style="mso-fit-shape-to-text:t" inset="0,0,0,15pt">
                <w:txbxContent>
                  <w:p w14:paraId="564D5271" w14:textId="6F609416" w:rsidR="002C1624" w:rsidRPr="002C1624" w:rsidRDefault="002C1624" w:rsidP="002C1624">
                    <w:pPr>
                      <w:spacing w:after="0"/>
                      <w:rPr>
                        <w:rFonts w:ascii="Calibri" w:eastAsia="Calibri" w:hAnsi="Calibri" w:cs="Calibri"/>
                        <w:noProof/>
                        <w:color w:val="000000"/>
                        <w:sz w:val="24"/>
                        <w:szCs w:val="24"/>
                      </w:rPr>
                    </w:pPr>
                    <w:r w:rsidRPr="002C1624">
                      <w:rPr>
                        <w:rFonts w:ascii="Calibri" w:eastAsia="Calibri" w:hAnsi="Calibri" w:cs="Calibri"/>
                        <w:noProof/>
                        <w:color w:val="000000"/>
                        <w:sz w:val="24"/>
                        <w:szCs w:val="24"/>
                      </w:rPr>
                      <w:t>Unofficial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Pr>
        <w:bCs w:val="0"/>
      </w:rPr>
      <w:t>August</w:t>
    </w:r>
    <w:r w:rsidRPr="00D40EAF">
      <w:rPr>
        <w:bCs w:val="0"/>
      </w:rPr>
      <w:t xml:space="preserve"> 2024</w:t>
    </w:r>
  </w:p>
  <w:p w14:paraId="2A97251E" w14:textId="77777777" w:rsidR="00293C1A" w:rsidRDefault="00293C1A"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E5EA" w14:textId="223FB318" w:rsidR="00293C1A" w:rsidRPr="00810C40" w:rsidRDefault="002C1624" w:rsidP="00D40EAF">
    <w:pPr>
      <w:pStyle w:val="Footer"/>
    </w:pPr>
    <w:r>
      <w:rPr>
        <w:b/>
        <w:bCs w:val="0"/>
        <w:noProof/>
        <w14:ligatures w14:val="standardContextual"/>
      </w:rPr>
      <mc:AlternateContent>
        <mc:Choice Requires="wps">
          <w:drawing>
            <wp:anchor distT="0" distB="0" distL="0" distR="0" simplePos="0" relativeHeight="251664896" behindDoc="0" locked="0" layoutInCell="1" allowOverlap="1" wp14:anchorId="00C666FB" wp14:editId="5BF60333">
              <wp:simplePos x="635" y="635"/>
              <wp:positionH relativeFrom="page">
                <wp:align>center</wp:align>
              </wp:positionH>
              <wp:positionV relativeFrom="page">
                <wp:align>bottom</wp:align>
              </wp:positionV>
              <wp:extent cx="593725" cy="452755"/>
              <wp:effectExtent l="0" t="0" r="15875" b="0"/>
              <wp:wrapNone/>
              <wp:docPr id="527300977"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452755"/>
                      </a:xfrm>
                      <a:prstGeom prst="rect">
                        <a:avLst/>
                      </a:prstGeom>
                      <a:noFill/>
                      <a:ln>
                        <a:noFill/>
                      </a:ln>
                    </wps:spPr>
                    <wps:txbx>
                      <w:txbxContent>
                        <w:p w14:paraId="1BF4AC93" w14:textId="148D3E26" w:rsidR="002C1624" w:rsidRPr="002C1624" w:rsidRDefault="002C1624" w:rsidP="002C1624">
                          <w:pPr>
                            <w:spacing w:after="0"/>
                            <w:rPr>
                              <w:rFonts w:ascii="Calibri" w:eastAsia="Calibri" w:hAnsi="Calibri" w:cs="Calibri"/>
                              <w:noProof/>
                              <w:color w:val="000000"/>
                              <w:sz w:val="24"/>
                              <w:szCs w:val="24"/>
                            </w:rPr>
                          </w:pPr>
                          <w:r w:rsidRPr="002C1624">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666FB" id="_x0000_t202" coordsize="21600,21600" o:spt="202" path="m,l,21600r21600,l21600,xe">
              <v:stroke joinstyle="miter"/>
              <v:path gradientshapeok="t" o:connecttype="rect"/>
            </v:shapetype>
            <v:shape id="Text Box 3" o:spid="_x0000_s1027" type="#_x0000_t202" alt="Unofficial" style="position:absolute;margin-left:0;margin-top:0;width:46.75pt;height:35.6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" filled="f" stroked="f">
              <v:textbox style="mso-fit-shape-to-text:t" inset="0,0,0,15pt">
                <w:txbxContent>
                  <w:p w14:paraId="1BF4AC93" w14:textId="148D3E26" w:rsidR="002C1624" w:rsidRPr="002C1624" w:rsidRDefault="002C1624" w:rsidP="002C1624">
                    <w:pPr>
                      <w:spacing w:after="0"/>
                      <w:rPr>
                        <w:rFonts w:ascii="Calibri" w:eastAsia="Calibri" w:hAnsi="Calibri" w:cs="Calibri"/>
                        <w:noProof/>
                        <w:color w:val="000000"/>
                        <w:sz w:val="24"/>
                        <w:szCs w:val="24"/>
                      </w:rPr>
                    </w:pPr>
                    <w:r w:rsidRPr="002C1624">
                      <w:rPr>
                        <w:rFonts w:ascii="Calibri" w:eastAsia="Calibri" w:hAnsi="Calibri" w:cs="Calibri"/>
                        <w:noProof/>
                        <w:color w:val="000000"/>
                        <w:sz w:val="24"/>
                        <w:szCs w:val="24"/>
                      </w:rPr>
                      <w:t>Unofficial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Pr>
        <w:bCs w:val="0"/>
      </w:rPr>
      <w:t>August</w:t>
    </w:r>
    <w:r w:rsidRPr="00D40EAF">
      <w:rPr>
        <w:bCs w:val="0"/>
      </w:rPr>
      <w:t xml:space="preserve"> 2024</w:t>
    </w:r>
  </w:p>
  <w:p w14:paraId="010C1170" w14:textId="77777777" w:rsidR="00293C1A" w:rsidRDefault="00293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074" w14:textId="71196086" w:rsidR="00293C1A" w:rsidRDefault="002C1624" w:rsidP="00C871F9">
    <w:pPr>
      <w:pStyle w:val="Footer"/>
    </w:pPr>
    <w:r>
      <w:rPr>
        <w:noProof/>
        <w14:ligatures w14:val="standardContextual"/>
      </w:rPr>
      <mc:AlternateContent>
        <mc:Choice Requires="wps">
          <w:drawing>
            <wp:anchor distT="0" distB="0" distL="0" distR="0" simplePos="0" relativeHeight="251662848" behindDoc="0" locked="0" layoutInCell="1" allowOverlap="1" wp14:anchorId="7598DBB4" wp14:editId="5026CFD3">
              <wp:simplePos x="635" y="635"/>
              <wp:positionH relativeFrom="page">
                <wp:align>center</wp:align>
              </wp:positionH>
              <wp:positionV relativeFrom="page">
                <wp:align>bottom</wp:align>
              </wp:positionV>
              <wp:extent cx="593725" cy="452755"/>
              <wp:effectExtent l="0" t="0" r="15875" b="0"/>
              <wp:wrapNone/>
              <wp:docPr id="1379048540"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452755"/>
                      </a:xfrm>
                      <a:prstGeom prst="rect">
                        <a:avLst/>
                      </a:prstGeom>
                      <a:noFill/>
                      <a:ln>
                        <a:noFill/>
                      </a:ln>
                    </wps:spPr>
                    <wps:txbx>
                      <w:txbxContent>
                        <w:p w14:paraId="79ED9100" w14:textId="29E099A6" w:rsidR="002C1624" w:rsidRPr="002C1624" w:rsidRDefault="002C1624" w:rsidP="002C1624">
                          <w:pPr>
                            <w:spacing w:after="0"/>
                            <w:rPr>
                              <w:rFonts w:ascii="Calibri" w:eastAsia="Calibri" w:hAnsi="Calibri" w:cs="Calibri"/>
                              <w:noProof/>
                              <w:color w:val="000000"/>
                              <w:sz w:val="24"/>
                              <w:szCs w:val="24"/>
                            </w:rPr>
                          </w:pPr>
                          <w:r w:rsidRPr="002C1624">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8DBB4" id="_x0000_t202" coordsize="21600,21600" o:spt="202" path="m,l,21600r21600,l21600,xe">
              <v:stroke joinstyle="miter"/>
              <v:path gradientshapeok="t" o:connecttype="rect"/>
            </v:shapetype>
            <v:shape id="Text Box 1" o:spid="_x0000_s1028" type="#_x0000_t202" alt="Unofficial" style="position:absolute;margin-left:0;margin-top:0;width:46.75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" filled="f" stroked="f">
              <v:textbox style="mso-fit-shape-to-text:t" inset="0,0,0,15pt">
                <w:txbxContent>
                  <w:p w14:paraId="79ED9100" w14:textId="29E099A6" w:rsidR="002C1624" w:rsidRPr="002C1624" w:rsidRDefault="002C1624" w:rsidP="002C1624">
                    <w:pPr>
                      <w:spacing w:after="0"/>
                      <w:rPr>
                        <w:rFonts w:ascii="Calibri" w:eastAsia="Calibri" w:hAnsi="Calibri" w:cs="Calibri"/>
                        <w:noProof/>
                        <w:color w:val="000000"/>
                        <w:sz w:val="24"/>
                        <w:szCs w:val="24"/>
                      </w:rPr>
                    </w:pPr>
                    <w:r w:rsidRPr="002C1624">
                      <w:rPr>
                        <w:rFonts w:ascii="Calibri" w:eastAsia="Calibri" w:hAnsi="Calibri" w:cs="Calibri"/>
                        <w:noProof/>
                        <w:color w:val="00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DCDA" w14:textId="77777777" w:rsidR="00394F9B" w:rsidRDefault="00394F9B" w:rsidP="002C1624">
      <w:pPr>
        <w:spacing w:before="0" w:after="0" w:line="240" w:lineRule="auto"/>
      </w:pPr>
      <w:r>
        <w:separator/>
      </w:r>
    </w:p>
  </w:footnote>
  <w:footnote w:type="continuationSeparator" w:id="0">
    <w:p w14:paraId="50E5973D" w14:textId="77777777" w:rsidR="00394F9B" w:rsidRDefault="00394F9B" w:rsidP="002C16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A9C5" w14:textId="77777777" w:rsidR="00293C1A" w:rsidRPr="00CD157B" w:rsidRDefault="00D72AAF" w:rsidP="00DE2576">
    <w:pPr>
      <w:pStyle w:val="Header"/>
    </w:pPr>
    <w:r w:rsidRPr="00484CC4">
      <w:rPr>
        <w:noProof/>
      </w:rPr>
      <mc:AlternateContent>
        <mc:Choice Requires="wps">
          <w:drawing>
            <wp:anchor distT="0" distB="0" distL="114300" distR="114300" simplePos="0" relativeHeight="251653632" behindDoc="0" locked="1" layoutInCell="1" allowOverlap="1" wp14:anchorId="026E35C9" wp14:editId="59120E2D">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8D60F0" id="Hdr_Element6" o:spid="_x0000_s1026" alt="&quot;&quot;" style="position:absolute;margin-left:512.5pt;margin-top:0;width:83.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156082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1584" behindDoc="0" locked="0" layoutInCell="1" allowOverlap="1" wp14:anchorId="24B6A9FF" wp14:editId="0EA4575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9D950A" id="Hdr_Element1" o:spid="_x0000_s1026" alt="&quot;&quot;" style="position:absolute;margin-left:0;margin-top:0;width:595.3pt;height:35.1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0e2841 [3215]" stroked="f">
              <v:path arrowok="t"/>
              <w10:wrap anchorx="page" anchory="page"/>
            </v:shape>
          </w:pict>
        </mc:Fallback>
      </mc:AlternateContent>
    </w:r>
    <w:r w:rsidRPr="00484CC4">
      <w:rPr>
        <w:noProof/>
      </w:rPr>
      <mc:AlternateContent>
        <mc:Choice Requires="wps">
          <w:drawing>
            <wp:anchor distT="0" distB="0" distL="114300" distR="114300" simplePos="0" relativeHeight="251655680" behindDoc="0" locked="1" layoutInCell="1" allowOverlap="1" wp14:anchorId="51B80EFB" wp14:editId="1D23939E">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045A07" id="Hdr_Element4" o:spid="_x0000_s1026" alt="&quot;&quot;" style="position:absolute;margin-left:363.9pt;margin-top:0;width:115.65pt;height:35.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196b24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7728" behindDoc="0" locked="1" layoutInCell="1" allowOverlap="1" wp14:anchorId="78E2E578" wp14:editId="338A1AF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E3ADC0" id="Hdr_Element5" o:spid="_x0000_s1026" alt="&quot;&quot;" style="position:absolute;margin-left:463.3pt;margin-top:0;width:66.0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0e2841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9776" behindDoc="0" locked="1" layoutInCell="1" allowOverlap="1" wp14:anchorId="54393EA3" wp14:editId="3324C2F1">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970EEB" id="Hdr_Element2" o:spid="_x0000_s1026" alt="&quot;&quot;" style="position:absolute;margin-left:297.65pt;margin-top:0;width:82.7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9713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1824" behindDoc="0" locked="1" layoutInCell="1" allowOverlap="1" wp14:anchorId="24575538" wp14:editId="456D0BA0">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A823B0" id="Hdr_Element3" o:spid="_x0000_s1026" alt="&quot;&quot;" style="position:absolute;margin-left:363.8pt;margin-top:0;width:33.15pt;height:35.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0e2841 [3215]" stroked="f">
              <v:path arrowok="t"/>
              <w10:wrap anchorx="page" anchory="page"/>
              <w10:anchorlock/>
            </v:shape>
          </w:pict>
        </mc:Fallback>
      </mc:AlternateContent>
    </w:r>
  </w:p>
  <w:p w14:paraId="2E6AD185" w14:textId="77777777" w:rsidR="00293C1A" w:rsidRPr="00DE2576" w:rsidRDefault="00293C1A"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CA98" w14:textId="77777777" w:rsidR="002C1624" w:rsidRPr="00CD157B" w:rsidRDefault="002C1624" w:rsidP="00CD157B">
    <w:pPr>
      <w:pStyle w:val="Header"/>
    </w:pPr>
    <w:r w:rsidRPr="002D38FC">
      <w:t xml:space="preserve"> </w:t>
    </w:r>
    <w:r w:rsidRPr="00484CC4">
      <w:rPr>
        <w:noProof/>
      </w:rPr>
      <mc:AlternateContent>
        <mc:Choice Requires="wps">
          <w:drawing>
            <wp:anchor distT="0" distB="0" distL="114300" distR="114300" simplePos="0" relativeHeight="251652608" behindDoc="0" locked="1" layoutInCell="1" allowOverlap="1" wp14:anchorId="16F82117" wp14:editId="481A1B43">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7DBA0C" id="Hdr_Element6" o:spid="_x0000_s1026" alt="&quot;&quot;" style="position:absolute;margin-left:512.5pt;margin-top:0;width:83.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156082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0560" behindDoc="0" locked="0" layoutInCell="1" allowOverlap="1" wp14:anchorId="2C94C41D" wp14:editId="62346027">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4DA017" id="Hdr_Element1" o:spid="_x0000_s1026" alt="&quot;&quot;" style="position:absolute;margin-left:0;margin-top:0;width:595.3pt;height:35.1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0e2841 [3215]" stroked="f">
              <v:path arrowok="t"/>
              <w10:wrap anchorx="page" anchory="page"/>
            </v:shape>
          </w:pict>
        </mc:Fallback>
      </mc:AlternateContent>
    </w:r>
    <w:r w:rsidRPr="00484CC4">
      <w:rPr>
        <w:noProof/>
      </w:rPr>
      <mc:AlternateContent>
        <mc:Choice Requires="wps">
          <w:drawing>
            <wp:anchor distT="0" distB="0" distL="114300" distR="114300" simplePos="0" relativeHeight="251654656" behindDoc="0" locked="1" layoutInCell="1" allowOverlap="1" wp14:anchorId="0E59AD49" wp14:editId="21597953">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107415" id="Hdr_Element4" o:spid="_x0000_s1026" alt="&quot;&quot;" style="position:absolute;margin-left:363.9pt;margin-top:0;width:115.65pt;height:35.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196b24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6704" behindDoc="0" locked="1" layoutInCell="1" allowOverlap="1" wp14:anchorId="00903AA6" wp14:editId="3826AF72">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F9681B" id="Hdr_Element5" o:spid="_x0000_s1026" alt="&quot;&quot;" style="position:absolute;margin-left:463.3pt;margin-top:0;width:66.0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0e2841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752" behindDoc="0" locked="1" layoutInCell="1" allowOverlap="1" wp14:anchorId="3F258AA6" wp14:editId="1E44C644">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58A66F" id="Hdr_Element2" o:spid="_x0000_s1026" alt="&quot;&quot;" style="position:absolute;margin-left:297.65pt;margin-top:0;width:82.7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9713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0800" behindDoc="0" locked="1" layoutInCell="1" allowOverlap="1" wp14:anchorId="4F76EEE0" wp14:editId="20B6EEDA">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4E415B" id="Hdr_Element3" o:spid="_x0000_s1026" alt="&quot;&quot;" style="position:absolute;margin-left:363.8pt;margin-top:0;width:33.15pt;height:35.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0e2841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B356B8"/>
    <w:multiLevelType w:val="hybridMultilevel"/>
    <w:tmpl w:val="3FC84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4E166D"/>
    <w:multiLevelType w:val="hybridMultilevel"/>
    <w:tmpl w:val="0562B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0744D2"/>
    <w:multiLevelType w:val="hybridMultilevel"/>
    <w:tmpl w:val="F7E0D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2C1426"/>
    <w:multiLevelType w:val="hybridMultilevel"/>
    <w:tmpl w:val="349CA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285E7D"/>
    <w:multiLevelType w:val="hybridMultilevel"/>
    <w:tmpl w:val="4040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228463">
    <w:abstractNumId w:val="0"/>
  </w:num>
  <w:num w:numId="2" w16cid:durableId="322781625">
    <w:abstractNumId w:val="5"/>
  </w:num>
  <w:num w:numId="3" w16cid:durableId="136073395">
    <w:abstractNumId w:val="3"/>
  </w:num>
  <w:num w:numId="4" w16cid:durableId="964651850">
    <w:abstractNumId w:val="4"/>
  </w:num>
  <w:num w:numId="5" w16cid:durableId="197592428">
    <w:abstractNumId w:val="2"/>
  </w:num>
  <w:num w:numId="6" w16cid:durableId="2120833956">
    <w:abstractNumId w:val="6"/>
  </w:num>
  <w:num w:numId="7" w16cid:durableId="84509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24"/>
    <w:rsid w:val="0000115B"/>
    <w:rsid w:val="000F2C78"/>
    <w:rsid w:val="00293C1A"/>
    <w:rsid w:val="002C1624"/>
    <w:rsid w:val="002F5F63"/>
    <w:rsid w:val="00394F9B"/>
    <w:rsid w:val="004A180B"/>
    <w:rsid w:val="006139A4"/>
    <w:rsid w:val="00661637"/>
    <w:rsid w:val="006E4A1D"/>
    <w:rsid w:val="007606C7"/>
    <w:rsid w:val="007825F7"/>
    <w:rsid w:val="00927345"/>
    <w:rsid w:val="009C61C2"/>
    <w:rsid w:val="00A70834"/>
    <w:rsid w:val="00C038B0"/>
    <w:rsid w:val="00D72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CDDD0BD"/>
  <w15:chartTrackingRefBased/>
  <w15:docId w15:val="{D4E38EB8-CB6F-4128-BD32-07297CAF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24"/>
    <w:pPr>
      <w:spacing w:before="120" w:after="120" w:line="240" w:lineRule="atLeast"/>
    </w:pPr>
    <w:rPr>
      <w:rFonts w:eastAsia="Times New Roman" w:cs="Times New Roman"/>
      <w:kern w:val="0"/>
      <w:sz w:val="20"/>
      <w:szCs w:val="20"/>
      <w:lang w:eastAsia="en-AU"/>
      <w14:ligatures w14:val="none"/>
    </w:rPr>
  </w:style>
  <w:style w:type="paragraph" w:styleId="Heading1">
    <w:name w:val="heading 1"/>
    <w:basedOn w:val="Normal"/>
    <w:next w:val="Normal"/>
    <w:link w:val="Heading1Char"/>
    <w:qFormat/>
    <w:rsid w:val="002C1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C1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C1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624"/>
    <w:rPr>
      <w:rFonts w:eastAsiaTheme="majorEastAsia" w:cstheme="majorBidi"/>
      <w:color w:val="272727" w:themeColor="text1" w:themeTint="D8"/>
    </w:rPr>
  </w:style>
  <w:style w:type="paragraph" w:styleId="Title">
    <w:name w:val="Title"/>
    <w:basedOn w:val="Normal"/>
    <w:next w:val="Normal"/>
    <w:link w:val="TitleChar"/>
    <w:uiPriority w:val="10"/>
    <w:qFormat/>
    <w:rsid w:val="002C1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2C1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2C1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624"/>
    <w:pPr>
      <w:spacing w:before="160"/>
      <w:jc w:val="center"/>
    </w:pPr>
    <w:rPr>
      <w:i/>
      <w:iCs/>
      <w:color w:val="404040" w:themeColor="text1" w:themeTint="BF"/>
    </w:rPr>
  </w:style>
  <w:style w:type="character" w:customStyle="1" w:styleId="QuoteChar">
    <w:name w:val="Quote Char"/>
    <w:basedOn w:val="DefaultParagraphFont"/>
    <w:link w:val="Quote"/>
    <w:uiPriority w:val="29"/>
    <w:rsid w:val="002C1624"/>
    <w:rPr>
      <w:i/>
      <w:iCs/>
      <w:color w:val="404040" w:themeColor="text1" w:themeTint="BF"/>
    </w:rPr>
  </w:style>
  <w:style w:type="paragraph" w:styleId="ListParagraph">
    <w:name w:val="List Paragraph"/>
    <w:basedOn w:val="Normal"/>
    <w:uiPriority w:val="34"/>
    <w:qFormat/>
    <w:rsid w:val="002C1624"/>
    <w:pPr>
      <w:ind w:left="720"/>
      <w:contextualSpacing/>
    </w:pPr>
  </w:style>
  <w:style w:type="character" w:styleId="IntenseEmphasis">
    <w:name w:val="Intense Emphasis"/>
    <w:basedOn w:val="DefaultParagraphFont"/>
    <w:uiPriority w:val="21"/>
    <w:qFormat/>
    <w:rsid w:val="002C1624"/>
    <w:rPr>
      <w:i/>
      <w:iCs/>
      <w:color w:val="0F4761" w:themeColor="accent1" w:themeShade="BF"/>
    </w:rPr>
  </w:style>
  <w:style w:type="paragraph" w:styleId="IntenseQuote">
    <w:name w:val="Intense Quote"/>
    <w:basedOn w:val="Normal"/>
    <w:next w:val="Normal"/>
    <w:link w:val="IntenseQuoteChar"/>
    <w:uiPriority w:val="30"/>
    <w:qFormat/>
    <w:rsid w:val="002C1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624"/>
    <w:rPr>
      <w:i/>
      <w:iCs/>
      <w:color w:val="0F4761" w:themeColor="accent1" w:themeShade="BF"/>
    </w:rPr>
  </w:style>
  <w:style w:type="character" w:styleId="IntenseReference">
    <w:name w:val="Intense Reference"/>
    <w:basedOn w:val="DefaultParagraphFont"/>
    <w:uiPriority w:val="32"/>
    <w:qFormat/>
    <w:rsid w:val="002C1624"/>
    <w:rPr>
      <w:b/>
      <w:bCs/>
      <w:smallCaps/>
      <w:color w:val="0F4761" w:themeColor="accent1" w:themeShade="BF"/>
      <w:spacing w:val="5"/>
    </w:rPr>
  </w:style>
  <w:style w:type="paragraph" w:styleId="BodyText">
    <w:name w:val="Body Text"/>
    <w:basedOn w:val="Normal"/>
    <w:link w:val="BodyTextChar"/>
    <w:qFormat/>
    <w:rsid w:val="002C1624"/>
  </w:style>
  <w:style w:type="character" w:customStyle="1" w:styleId="BodyTextChar">
    <w:name w:val="Body Text Char"/>
    <w:basedOn w:val="DefaultParagraphFont"/>
    <w:link w:val="BodyText"/>
    <w:rsid w:val="002C1624"/>
    <w:rPr>
      <w:rFonts w:eastAsia="Times New Roman" w:cs="Times New Roman"/>
      <w:kern w:val="0"/>
      <w:sz w:val="20"/>
      <w:szCs w:val="20"/>
      <w:lang w:eastAsia="en-AU"/>
      <w14:ligatures w14:val="none"/>
    </w:rPr>
  </w:style>
  <w:style w:type="paragraph" w:styleId="Footer">
    <w:name w:val="footer"/>
    <w:basedOn w:val="Normal"/>
    <w:link w:val="FooterChar"/>
    <w:uiPriority w:val="99"/>
    <w:rsid w:val="002C1624"/>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2C1624"/>
    <w:rPr>
      <w:rFonts w:eastAsia="Times New Roman" w:cs="Times New Roman"/>
      <w:bCs/>
      <w:kern w:val="0"/>
      <w:sz w:val="16"/>
      <w:szCs w:val="20"/>
      <w:lang w:eastAsia="en-AU"/>
      <w14:ligatures w14:val="none"/>
    </w:rPr>
  </w:style>
  <w:style w:type="paragraph" w:styleId="Header">
    <w:name w:val="header"/>
    <w:basedOn w:val="Normal"/>
    <w:link w:val="HeaderChar"/>
    <w:uiPriority w:val="99"/>
    <w:unhideWhenUsed/>
    <w:rsid w:val="002C1624"/>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2C1624"/>
    <w:rPr>
      <w:rFonts w:eastAsia="Times New Roman" w:cs="Times New Roman"/>
      <w:kern w:val="0"/>
      <w:sz w:val="20"/>
      <w:szCs w:val="20"/>
      <w:lang w:eastAsia="en-AU"/>
      <w14:ligatures w14:val="none"/>
    </w:rPr>
  </w:style>
  <w:style w:type="character" w:styleId="Hyperlink">
    <w:name w:val="Hyperlink"/>
    <w:basedOn w:val="DefaultParagraphFont"/>
    <w:uiPriority w:val="99"/>
    <w:unhideWhenUsed/>
    <w:rsid w:val="002C1624"/>
    <w:rPr>
      <w:color w:val="467886" w:themeColor="hyperlink"/>
      <w:u w:val="single"/>
    </w:rPr>
  </w:style>
  <w:style w:type="table" w:customStyle="1" w:styleId="TableGrid1">
    <w:name w:val="Table Grid1"/>
    <w:basedOn w:val="TableNormal"/>
    <w:next w:val="TableGrid"/>
    <w:uiPriority w:val="59"/>
    <w:rsid w:val="002C1624"/>
    <w:pPr>
      <w:spacing w:before="60" w:after="60" w:line="220" w:lineRule="atLeast"/>
      <w:ind w:left="113" w:right="113"/>
    </w:pPr>
    <w:rPr>
      <w:rFonts w:eastAsia="Times New Roman" w:cs="Times New Roman"/>
      <w:color w:val="201547"/>
      <w:kern w:val="0"/>
      <w:sz w:val="18"/>
      <w:szCs w:val="20"/>
      <w:lang w:eastAsia="en-AU"/>
      <w14:ligatures w14:val="none"/>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table" w:styleId="TableGrid">
    <w:name w:val="Table Grid"/>
    <w:basedOn w:val="TableNormal"/>
    <w:uiPriority w:val="39"/>
    <w:rsid w:val="002C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C78"/>
    <w:pPr>
      <w:spacing w:after="0" w:line="240" w:lineRule="auto"/>
    </w:pPr>
    <w:rPr>
      <w:rFonts w:eastAsia="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751">
      <w:bodyDiv w:val="1"/>
      <w:marLeft w:val="0"/>
      <w:marRight w:val="0"/>
      <w:marTop w:val="0"/>
      <w:marBottom w:val="0"/>
      <w:divBdr>
        <w:top w:val="none" w:sz="0" w:space="0" w:color="auto"/>
        <w:left w:val="none" w:sz="0" w:space="0" w:color="auto"/>
        <w:bottom w:val="none" w:sz="0" w:space="0" w:color="auto"/>
        <w:right w:val="none" w:sz="0" w:space="0" w:color="auto"/>
      </w:divBdr>
    </w:div>
    <w:div w:id="12522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18" Type="http://schemas.openxmlformats.org/officeDocument/2006/relationships/hyperlink" Target="mailto:customer.service@deeca.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self.determination@deeca.vic.gov.au" TargetMode="External"/><Relationship Id="rId2" Type="http://schemas.openxmlformats.org/officeDocument/2006/relationships/styles" Target="styles.xml"/><Relationship Id="rId16" Type="http://schemas.openxmlformats.org/officeDocument/2006/relationships/hyperlink" Target="https://careers.vic.gov.au/victorian-public-sector/public-sector-values-integr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eeca.vic.gov.au"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1763</Words>
  <Characters>10803</Characters>
  <Application>Microsoft Office Word</Application>
  <DocSecurity>0</DocSecurity>
  <Lines>201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Anderson-Oliver (DEECA)</dc:creator>
  <cp:keywords/>
  <dc:description/>
  <cp:lastModifiedBy>Patrick Warke (DEECA)</cp:lastModifiedBy>
  <cp:revision>4</cp:revision>
  <dcterms:created xsi:type="dcterms:W3CDTF">2025-10-17T01:59:00Z</dcterms:created>
  <dcterms:modified xsi:type="dcterms:W3CDTF">2025-10-29T05:22:00Z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52329c5c,482439ec,1f6df971</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2025-10-13T11:58:49Z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5aed4b29-859c-42df-bbc1-947292f7d193</vt:lpwstr>
  </property>
  <property fmtid="{D5CDD505-2E9C-101B-9397-08002B2CF9AE}" pid="11" name="MSIP_Label_b92b7feb-b287-442c-a072-f385b02ec972_ContentBits">
    <vt:lpwstr>2</vt:lpwstr>
  </property>
  <property fmtid="{D5CDD505-2E9C-101B-9397-08002B2CF9AE}" pid="12" name="MSIP_Label_b92b7feb-b287-442c-a072-f385b02ec972_Tag">
    <vt:lpwstr>10, 0, 1, 1</vt:lpwstr>
  </property>
</Properties>
</file>