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76D21C29" w:rsidR="004C1F02" w:rsidRDefault="00A00A2A" w:rsidP="001806EE">
      <w:pPr>
        <w:pStyle w:val="Subtitle"/>
        <w:framePr w:wrap="around"/>
      </w:pPr>
      <w:r>
        <w:t xml:space="preserve">Designated Aboriginal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61312"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EC031D" id="Group 1" o:spid="_x0000_s1026" alt="&quot;&quot;" style="position:absolute;margin-left:0;margin-top:0;width:595.85pt;height:175.45pt;z-index:-251657216;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03E2" w:rsidRPr="005203E2" w14:paraId="1A70AD1D" w14:textId="77777777" w:rsidTr="005203E2">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1123834C" w14:textId="766E7F31"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Senior Business Analyst</w:t>
            </w:r>
          </w:p>
        </w:tc>
      </w:tr>
      <w:tr w:rsidR="005203E2" w:rsidRPr="005203E2" w14:paraId="3BA3BF65" w14:textId="77777777" w:rsidTr="005203E2">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7FAA1991" w14:textId="6183F3EC" w:rsidR="005203E2" w:rsidRPr="005203E2" w:rsidRDefault="00284914" w:rsidP="005203E2">
            <w:pPr>
              <w:spacing w:before="0" w:after="0"/>
              <w:ind w:left="57" w:right="-450"/>
              <w:rPr>
                <w:rFonts w:ascii="Arial" w:hAnsi="Arial" w:cs="Arial"/>
                <w:color w:val="363534"/>
                <w:szCs w:val="22"/>
              </w:rPr>
            </w:pPr>
            <w:bookmarkStart w:id="1" w:name="_Hlk211264734"/>
            <w:r w:rsidRPr="00284914">
              <w:rPr>
                <w:rFonts w:ascii="Arial" w:hAnsi="Arial" w:cs="Arial"/>
                <w:color w:val="363534"/>
                <w:szCs w:val="22"/>
              </w:rPr>
              <w:t>50964080</w:t>
            </w:r>
            <w:bookmarkEnd w:id="1"/>
          </w:p>
        </w:tc>
      </w:tr>
      <w:tr w:rsidR="005203E2" w:rsidRPr="005203E2" w14:paraId="75EC9046" w14:textId="77777777" w:rsidTr="005203E2">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534AC175" w14:textId="147B5449"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VPS Grade 6</w:t>
            </w:r>
          </w:p>
        </w:tc>
      </w:tr>
      <w:tr w:rsidR="005203E2" w:rsidRPr="005203E2" w14:paraId="662F4624" w14:textId="77777777" w:rsidTr="005203E2">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1B59FC43" w14:textId="1B6B3B1F" w:rsidR="005203E2" w:rsidRPr="005203E2" w:rsidRDefault="00284914" w:rsidP="005203E2">
            <w:pPr>
              <w:spacing w:before="0" w:after="0"/>
              <w:ind w:left="57" w:right="-450"/>
              <w:rPr>
                <w:rFonts w:ascii="Arial" w:hAnsi="Arial" w:cs="Arial"/>
                <w:color w:val="363534"/>
                <w:szCs w:val="22"/>
              </w:rPr>
            </w:pPr>
            <w:r>
              <w:rPr>
                <w:rFonts w:ascii="Arial" w:hAnsi="Arial" w:cs="Arial"/>
                <w:color w:val="363534"/>
                <w:szCs w:val="22"/>
              </w:rPr>
              <w:t>$</w:t>
            </w:r>
            <w:bookmarkStart w:id="2" w:name="_Hlk211264728"/>
            <w:r>
              <w:rPr>
                <w:rFonts w:ascii="Arial" w:hAnsi="Arial" w:cs="Arial"/>
                <w:color w:val="363534"/>
                <w:szCs w:val="22"/>
              </w:rPr>
              <w:t xml:space="preserve">138,631 - $185,518 </w:t>
            </w:r>
            <w:bookmarkEnd w:id="2"/>
            <w:r>
              <w:rPr>
                <w:rFonts w:ascii="Arial" w:hAnsi="Arial" w:cs="Arial"/>
                <w:color w:val="363534"/>
                <w:szCs w:val="22"/>
              </w:rPr>
              <w:t>plus superannuation</w:t>
            </w:r>
          </w:p>
        </w:tc>
      </w:tr>
      <w:tr w:rsidR="005203E2" w:rsidRPr="005203E2" w14:paraId="486C9ABF" w14:textId="77777777" w:rsidTr="005203E2">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06E98A55" w14:textId="4E756D3C" w:rsidR="005203E2" w:rsidRPr="005203E2" w:rsidRDefault="005203E2" w:rsidP="005203E2">
            <w:pPr>
              <w:tabs>
                <w:tab w:val="left" w:pos="3529"/>
              </w:tabs>
              <w:spacing w:before="0" w:after="0"/>
              <w:ind w:left="57" w:right="-450"/>
              <w:rPr>
                <w:rFonts w:ascii="Arial" w:hAnsi="Arial" w:cs="Arial"/>
                <w:color w:val="363534"/>
                <w:szCs w:val="22"/>
              </w:rPr>
            </w:pPr>
            <w:r w:rsidRPr="005203E2">
              <w:rPr>
                <w:rFonts w:ascii="Arial" w:hAnsi="Arial" w:cs="Arial"/>
                <w:color w:val="363534"/>
                <w:szCs w:val="22"/>
              </w:rPr>
              <w:t xml:space="preserve">Fixed Term </w:t>
            </w:r>
            <w:r w:rsidR="00284914">
              <w:rPr>
                <w:rFonts w:ascii="Arial" w:hAnsi="Arial" w:cs="Arial"/>
                <w:color w:val="363534"/>
                <w:szCs w:val="22"/>
              </w:rPr>
              <w:t>for 12 months</w:t>
            </w:r>
          </w:p>
        </w:tc>
      </w:tr>
      <w:tr w:rsidR="005203E2" w:rsidRPr="005203E2" w14:paraId="69074616" w14:textId="77777777" w:rsidTr="005203E2">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12D3F915" w14:textId="643CC1C8"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Corporate Services</w:t>
            </w:r>
          </w:p>
        </w:tc>
      </w:tr>
      <w:tr w:rsidR="005203E2" w:rsidRPr="005203E2" w14:paraId="5BB2546E" w14:textId="77777777" w:rsidTr="005203E2">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66F18CC5" w14:textId="0BEFFDD7"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Information Services</w:t>
            </w:r>
            <w:r>
              <w:rPr>
                <w:rFonts w:ascii="Arial" w:hAnsi="Arial" w:cs="Arial"/>
                <w:color w:val="363534"/>
                <w:szCs w:val="22"/>
              </w:rPr>
              <w:t xml:space="preserve"> / </w:t>
            </w:r>
            <w:r w:rsidRPr="00284914">
              <w:rPr>
                <w:rFonts w:ascii="Arial" w:hAnsi="Arial" w:cs="Arial"/>
                <w:color w:val="363534"/>
                <w:szCs w:val="22"/>
              </w:rPr>
              <w:t>Project Delivery, Change and Communications</w:t>
            </w:r>
          </w:p>
        </w:tc>
      </w:tr>
      <w:tr w:rsidR="005203E2" w:rsidRPr="005203E2" w14:paraId="3996A3D9" w14:textId="77777777" w:rsidTr="005203E2">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5172103" w14:textId="74EF73E6" w:rsidR="005203E2" w:rsidRPr="005203E2" w:rsidRDefault="00284914" w:rsidP="005203E2">
            <w:pPr>
              <w:spacing w:before="0" w:after="0"/>
              <w:ind w:left="57" w:right="-450"/>
              <w:rPr>
                <w:rFonts w:ascii="Arial" w:hAnsi="Arial" w:cs="Arial"/>
                <w:color w:val="363534"/>
                <w:szCs w:val="22"/>
              </w:rPr>
            </w:pPr>
            <w:r>
              <w:rPr>
                <w:rFonts w:ascii="Arial" w:hAnsi="Arial" w:cs="Arial"/>
                <w:color w:val="363534"/>
                <w:szCs w:val="22"/>
              </w:rPr>
              <w:t>2 Lonsdale Street, Melbourne - Flexible</w:t>
            </w:r>
          </w:p>
          <w:p w14:paraId="035A485C" w14:textId="477375B1"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284914">
              <w:rPr>
                <w:rFonts w:ascii="Arial" w:hAnsi="Arial" w:cs="Arial"/>
                <w:color w:val="363534"/>
                <w:szCs w:val="22"/>
              </w:rPr>
              <w:fldChar w:fldCharType="begin">
                <w:ffData>
                  <w:name w:val=""/>
                  <w:enabled/>
                  <w:calcOnExit w:val="0"/>
                  <w:checkBox>
                    <w:size w:val="26"/>
                    <w:default w:val="1"/>
                  </w:checkBox>
                </w:ffData>
              </w:fldChar>
            </w:r>
            <w:r w:rsidR="00284914">
              <w:rPr>
                <w:rFonts w:ascii="Arial" w:hAnsi="Arial" w:cs="Arial"/>
                <w:color w:val="363534"/>
                <w:szCs w:val="22"/>
              </w:rPr>
              <w:instrText xml:space="preserve"> FORMCHECKBOX </w:instrText>
            </w:r>
            <w:r w:rsidR="00284914">
              <w:rPr>
                <w:rFonts w:ascii="Arial" w:hAnsi="Arial" w:cs="Arial"/>
                <w:color w:val="363534"/>
                <w:szCs w:val="22"/>
              </w:rPr>
            </w:r>
            <w:r w:rsidR="00284914">
              <w:rPr>
                <w:rFonts w:ascii="Arial" w:hAnsi="Arial" w:cs="Arial"/>
                <w:color w:val="363534"/>
                <w:szCs w:val="22"/>
              </w:rPr>
              <w:fldChar w:fldCharType="separate"/>
            </w:r>
            <w:r w:rsidR="00284914">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005203E2">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29A08FE" w14:textId="478A8676" w:rsidR="005203E2" w:rsidRPr="005203E2" w:rsidRDefault="00284914" w:rsidP="005203E2">
            <w:pPr>
              <w:tabs>
                <w:tab w:val="left" w:pos="469"/>
                <w:tab w:val="left" w:pos="1189"/>
              </w:tabs>
              <w:spacing w:before="0" w:after="0"/>
              <w:ind w:left="57" w:right="-450"/>
              <w:rPr>
                <w:rFonts w:ascii="Arial" w:hAnsi="Arial" w:cs="Arial"/>
                <w:color w:val="363534"/>
                <w:szCs w:val="22"/>
              </w:rPr>
            </w:pPr>
            <w:r w:rsidRPr="00284914">
              <w:rPr>
                <w:rFonts w:ascii="Arial" w:hAnsi="Arial" w:cs="Arial"/>
                <w:color w:val="363534"/>
                <w:szCs w:val="22"/>
              </w:rPr>
              <w:t>Program Director / Project Manager</w:t>
            </w:r>
            <w:r w:rsidR="005203E2" w:rsidRPr="005203E2">
              <w:rPr>
                <w:rFonts w:ascii="Arial" w:hAnsi="Arial" w:cs="Arial"/>
                <w:color w:val="363534"/>
                <w:szCs w:val="22"/>
              </w:rPr>
              <w:tab/>
            </w:r>
            <w:r w:rsidR="005203E2" w:rsidRPr="005203E2">
              <w:rPr>
                <w:rFonts w:ascii="Arial" w:hAnsi="Arial" w:cs="Arial"/>
                <w:color w:val="363534"/>
                <w:szCs w:val="22"/>
              </w:rPr>
              <w:tab/>
            </w:r>
          </w:p>
        </w:tc>
      </w:tr>
      <w:tr w:rsidR="005203E2" w:rsidRPr="005203E2" w14:paraId="69DF808B" w14:textId="77777777" w:rsidTr="005203E2">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53A7DD3E" w14:textId="77F86CCA" w:rsidR="005203E2" w:rsidRPr="005203E2" w:rsidRDefault="005203E2" w:rsidP="005203E2">
            <w:pPr>
              <w:tabs>
                <w:tab w:val="left" w:pos="469"/>
                <w:tab w:val="left" w:pos="1189"/>
              </w:tabs>
              <w:spacing w:before="0" w:after="0"/>
              <w:ind w:left="57" w:right="-450"/>
              <w:rPr>
                <w:rFonts w:ascii="Arial" w:hAnsi="Arial" w:cs="Arial"/>
                <w:color w:val="363534"/>
                <w:szCs w:val="22"/>
              </w:rPr>
            </w:pP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ab/>
              <w:t>Yes</w:t>
            </w:r>
            <w:r w:rsidRPr="005203E2">
              <w:rPr>
                <w:rFonts w:ascii="Arial" w:hAnsi="Arial" w:cs="Arial"/>
                <w:color w:val="363534"/>
                <w:szCs w:val="22"/>
              </w:rPr>
              <w:tab/>
            </w:r>
            <w:r w:rsidR="00284914">
              <w:rPr>
                <w:rFonts w:ascii="Arial" w:hAnsi="Arial" w:cs="Arial"/>
                <w:color w:val="363534"/>
                <w:szCs w:val="22"/>
              </w:rPr>
              <w:fldChar w:fldCharType="begin">
                <w:ffData>
                  <w:name w:val=""/>
                  <w:enabled/>
                  <w:calcOnExit w:val="0"/>
                  <w:checkBox>
                    <w:size w:val="26"/>
                    <w:default w:val="1"/>
                  </w:checkBox>
                </w:ffData>
              </w:fldChar>
            </w:r>
            <w:r w:rsidR="00284914">
              <w:rPr>
                <w:rFonts w:ascii="Arial" w:hAnsi="Arial" w:cs="Arial"/>
                <w:color w:val="363534"/>
                <w:szCs w:val="22"/>
              </w:rPr>
              <w:instrText xml:space="preserve"> FORMCHECKBOX </w:instrText>
            </w:r>
            <w:r w:rsidR="00284914">
              <w:rPr>
                <w:rFonts w:ascii="Arial" w:hAnsi="Arial" w:cs="Arial"/>
                <w:color w:val="363534"/>
                <w:szCs w:val="22"/>
              </w:rPr>
            </w:r>
            <w:r w:rsidR="00284914">
              <w:rPr>
                <w:rFonts w:ascii="Arial" w:hAnsi="Arial" w:cs="Arial"/>
                <w:color w:val="363534"/>
                <w:szCs w:val="22"/>
              </w:rPr>
              <w:fldChar w:fldCharType="separate"/>
            </w:r>
            <w:r w:rsidR="00284914">
              <w:rPr>
                <w:rFonts w:ascii="Arial" w:hAnsi="Arial" w:cs="Arial"/>
                <w:color w:val="363534"/>
                <w:szCs w:val="22"/>
              </w:rPr>
              <w:fldChar w:fldCharType="end"/>
            </w:r>
            <w:r w:rsidRPr="005203E2">
              <w:rPr>
                <w:rFonts w:ascii="Arial" w:hAnsi="Arial" w:cs="Arial"/>
                <w:color w:val="363534"/>
                <w:szCs w:val="22"/>
              </w:rPr>
              <w:t xml:space="preserve">  No                If yes, how many?</w:t>
            </w:r>
          </w:p>
        </w:tc>
      </w:tr>
      <w:tr w:rsidR="005203E2" w:rsidRPr="005203E2" w14:paraId="40F23A53" w14:textId="77777777" w:rsidTr="005203E2">
        <w:trPr>
          <w:trHeight w:val="399"/>
        </w:trPr>
        <w:tc>
          <w:tcPr>
            <w:tcW w:w="2580" w:type="dxa"/>
            <w:tcBorders>
              <w:top w:val="nil"/>
              <w:bottom w:val="nil"/>
              <w:right w:val="nil"/>
            </w:tcBorders>
            <w:vAlign w:val="center"/>
          </w:tcPr>
          <w:p w14:paraId="3E53395A"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19CBF7E8" w14:textId="06CC55B9" w:rsidR="005203E2" w:rsidRPr="005203E2" w:rsidRDefault="00284914" w:rsidP="005203E2">
            <w:pPr>
              <w:spacing w:before="0" w:after="0"/>
              <w:ind w:left="57" w:right="-450"/>
              <w:rPr>
                <w:rFonts w:ascii="Arial" w:hAnsi="Arial" w:cs="Arial"/>
                <w:color w:val="363534"/>
                <w:szCs w:val="22"/>
              </w:rPr>
            </w:pPr>
            <w:r w:rsidRPr="00284914">
              <w:rPr>
                <w:rFonts w:ascii="Arial" w:hAnsi="Arial" w:cs="Arial"/>
                <w:color w:val="363534"/>
                <w:szCs w:val="22"/>
              </w:rPr>
              <w:t>Peter Stefanidis, peter.stefanidis@deeca.vic.gov.au</w:t>
            </w:r>
          </w:p>
        </w:tc>
      </w:tr>
    </w:tbl>
    <w:p w14:paraId="27B46117" w14:textId="77777777" w:rsidR="005203E2" w:rsidRPr="00513AB7" w:rsidRDefault="005203E2" w:rsidP="00E207FC">
      <w:pPr>
        <w:keepNext/>
        <w:spacing w:before="0" w:after="0" w:line="240" w:lineRule="auto"/>
      </w:pPr>
    </w:p>
    <w:p w14:paraId="799519D2" w14:textId="77777777" w:rsidR="0001232F" w:rsidRPr="0001232F" w:rsidRDefault="0001232F" w:rsidP="0001232F">
      <w:pPr>
        <w:spacing w:after="0"/>
        <w:rPr>
          <w:rFonts w:ascii="Arial" w:hAnsi="Arial" w:cs="Arial"/>
          <w:color w:val="460274"/>
          <w:sz w:val="28"/>
          <w:szCs w:val="28"/>
        </w:rPr>
      </w:pPr>
      <w:r w:rsidRPr="0001232F">
        <w:rPr>
          <w:rFonts w:ascii="Arial" w:hAnsi="Arial" w:cs="Arial"/>
          <w:color w:val="460274"/>
          <w:sz w:val="28"/>
          <w:szCs w:val="28"/>
        </w:rPr>
        <w:t>Designated Aboriginal Position (DAP)</w:t>
      </w:r>
    </w:p>
    <w:p w14:paraId="680C85FF" w14:textId="77777777" w:rsidR="0001232F" w:rsidRDefault="0001232F" w:rsidP="0001232F">
      <w:pPr>
        <w:spacing w:after="0"/>
        <w:rPr>
          <w:rFonts w:ascii="Arial" w:hAnsi="Arial" w:cs="Arial"/>
        </w:rPr>
      </w:pPr>
      <w:r w:rsidRPr="46BBA263">
        <w:rPr>
          <w:rFonts w:ascii="Arial" w:hAnsi="Arial" w:cs="Arial"/>
        </w:rPr>
        <w:t xml:space="preserve">A designated position is only available to Aboriginal and/or Torres Strait Islander people. It is an affirmative or special measure under section 12 of the Equal Opportunity Act to support redressing disadvantage of certain groups or individuals. </w:t>
      </w:r>
    </w:p>
    <w:p w14:paraId="437D7974" w14:textId="77777777" w:rsidR="0001232F" w:rsidRPr="005942CD"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Applicants need to provide their Aboriginality form or a past completed Aboriginality form </w:t>
      </w:r>
      <w:r>
        <w:rPr>
          <w:rFonts w:ascii="Arial" w:hAnsi="Arial" w:cs="Arial"/>
        </w:rPr>
        <w:t>prior to</w:t>
      </w:r>
      <w:r w:rsidRPr="005942CD">
        <w:rPr>
          <w:rFonts w:ascii="Arial" w:hAnsi="Arial" w:cs="Arial"/>
        </w:rPr>
        <w:t xml:space="preserve"> offer stage to the hiring manager. </w:t>
      </w:r>
    </w:p>
    <w:p w14:paraId="3FA92D9C" w14:textId="0B7833CD" w:rsidR="0001232F" w:rsidRPr="005942CD" w:rsidRDefault="0001232F" w:rsidP="0001232F">
      <w:pPr>
        <w:pStyle w:val="ListParagraph"/>
        <w:numPr>
          <w:ilvl w:val="0"/>
          <w:numId w:val="45"/>
        </w:numPr>
        <w:spacing w:before="0" w:after="160" w:line="259" w:lineRule="auto"/>
        <w:rPr>
          <w:rFonts w:ascii="Arial" w:hAnsi="Arial" w:cs="Arial"/>
          <w:strike/>
        </w:rPr>
      </w:pPr>
      <w:r w:rsidRPr="52092916">
        <w:rPr>
          <w:rFonts w:ascii="Arial" w:hAnsi="Arial" w:cs="Arial"/>
        </w:rPr>
        <w:t>If you do not have access to an Aboriginality form, here is a link for the form</w:t>
      </w:r>
      <w:r>
        <w:t xml:space="preserve"> </w:t>
      </w:r>
      <w:hyperlink r:id="rId24">
        <w:r w:rsidRPr="52092916">
          <w:rPr>
            <w:rStyle w:val="Hyperlink"/>
            <w:rFonts w:ascii="Arial" w:hAnsi="Arial" w:cs="Arial"/>
          </w:rPr>
          <w:t>2024 Aboriginality Form.pdf</w:t>
        </w:r>
      </w:hyperlink>
      <w:r w:rsidRPr="52092916">
        <w:rPr>
          <w:rStyle w:val="Hyperlink"/>
          <w:rFonts w:ascii="Arial" w:hAnsi="Arial" w:cs="Arial"/>
        </w:rPr>
        <w:t>.</w:t>
      </w:r>
      <w:r>
        <w:t xml:space="preserve">         </w:t>
      </w:r>
    </w:p>
    <w:p w14:paraId="584784AD" w14:textId="77777777" w:rsidR="0001232F" w:rsidRPr="005942CD"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If you are the successful applicant for a designated position, an offer of employment cannot be made until a completed Aboriginality Form has been provided to the </w:t>
      </w:r>
      <w:r>
        <w:rPr>
          <w:rFonts w:ascii="Arial" w:hAnsi="Arial" w:cs="Arial"/>
        </w:rPr>
        <w:t>hiring manger</w:t>
      </w:r>
      <w:r w:rsidRPr="005942CD">
        <w:rPr>
          <w:rFonts w:ascii="Arial" w:hAnsi="Arial" w:cs="Arial"/>
        </w:rPr>
        <w:t>.</w:t>
      </w:r>
    </w:p>
    <w:p w14:paraId="7621610D" w14:textId="61D665F2" w:rsidR="0001232F" w:rsidRPr="0001232F" w:rsidRDefault="0001232F" w:rsidP="0001232F">
      <w:pPr>
        <w:pStyle w:val="ListParagraph"/>
        <w:numPr>
          <w:ilvl w:val="0"/>
          <w:numId w:val="45"/>
        </w:numPr>
        <w:spacing w:before="0" w:after="160" w:line="259" w:lineRule="auto"/>
        <w:rPr>
          <w:rFonts w:ascii="Arial" w:hAnsi="Arial" w:cs="Arial"/>
        </w:rPr>
      </w:pPr>
      <w:r w:rsidRPr="005942CD">
        <w:rPr>
          <w:rFonts w:ascii="Arial" w:hAnsi="Arial" w:cs="Arial"/>
        </w:rPr>
        <w:t xml:space="preserve">If you have a certified copy of an existing Aboriginality form previously completed by an Aboriginal community organisation (with contact details to verify), this may be used by the </w:t>
      </w:r>
      <w:r>
        <w:rPr>
          <w:rFonts w:ascii="Arial" w:hAnsi="Arial" w:cs="Arial"/>
        </w:rPr>
        <w:t>hiring manager</w:t>
      </w:r>
      <w:r w:rsidRPr="005942CD">
        <w:rPr>
          <w:rFonts w:ascii="Arial" w:hAnsi="Arial" w:cs="Arial"/>
        </w:rPr>
        <w:t xml:space="preserve"> in place of the DEECA Aboriginality Form</w:t>
      </w:r>
    </w:p>
    <w:p w14:paraId="05F609B1" w14:textId="033DD502" w:rsidR="008A576E" w:rsidRPr="006B6476" w:rsidRDefault="008A576E" w:rsidP="008A576E">
      <w:pPr>
        <w:spacing w:after="0"/>
        <w:rPr>
          <w:rFonts w:ascii="Arial" w:hAnsi="Arial" w:cs="Arial"/>
          <w:color w:val="460274"/>
          <w:sz w:val="28"/>
          <w:szCs w:val="28"/>
        </w:rPr>
      </w:pPr>
      <w:r w:rsidRPr="006B6476">
        <w:rPr>
          <w:rFonts w:ascii="Arial" w:hAnsi="Arial" w:cs="Arial"/>
          <w:color w:val="460274"/>
          <w:sz w:val="28"/>
          <w:szCs w:val="28"/>
        </w:rPr>
        <w:t>Acknowledgment</w:t>
      </w:r>
    </w:p>
    <w:p w14:paraId="4ADE7064" w14:textId="77777777" w:rsidR="008A576E" w:rsidRPr="008850C1" w:rsidRDefault="008A576E" w:rsidP="008A576E">
      <w:pPr>
        <w:spacing w:after="0"/>
        <w:rPr>
          <w:rFonts w:ascii="Arial" w:hAnsi="Arial" w:cs="Arial"/>
        </w:rPr>
      </w:pPr>
      <w:r w:rsidRPr="008850C1">
        <w:rPr>
          <w:rFonts w:ascii="Arial" w:hAnsi="Arial" w:cs="Arial"/>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3EC6CAF4" w14:textId="61BCC9AC" w:rsidR="008A576E" w:rsidRDefault="008A576E" w:rsidP="008A576E">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8B39D7D" w14:textId="77777777" w:rsidR="0001232F" w:rsidRDefault="0001232F" w:rsidP="008A576E">
      <w:pPr>
        <w:spacing w:line="240" w:lineRule="auto"/>
        <w:rPr>
          <w:rFonts w:ascii="Arial" w:hAnsi="Arial" w:cs="Arial"/>
        </w:rPr>
      </w:pPr>
    </w:p>
    <w:p w14:paraId="27910320" w14:textId="77777777" w:rsidR="008A576E" w:rsidRPr="004D0861" w:rsidRDefault="008A576E" w:rsidP="008A576E">
      <w:pPr>
        <w:tabs>
          <w:tab w:val="left" w:pos="8182"/>
        </w:tabs>
        <w:spacing w:after="0"/>
        <w:rPr>
          <w:rFonts w:ascii="Arial" w:hAnsi="Arial" w:cs="Arial"/>
        </w:rPr>
      </w:pPr>
      <w:r w:rsidRPr="006B6476">
        <w:rPr>
          <w:rFonts w:ascii="Arial" w:hAnsi="Arial" w:cs="Arial"/>
          <w:color w:val="460274"/>
          <w:sz w:val="28"/>
          <w:szCs w:val="28"/>
        </w:rPr>
        <w:lastRenderedPageBreak/>
        <w:t>DEECA Aboriginal</w:t>
      </w:r>
      <w:r>
        <w:rPr>
          <w:rFonts w:ascii="Arial" w:hAnsi="Arial" w:cs="Arial"/>
          <w:color w:val="460274"/>
          <w:sz w:val="28"/>
          <w:szCs w:val="28"/>
        </w:rPr>
        <w:t xml:space="preserve"> Employment</w:t>
      </w:r>
      <w:r w:rsidRPr="006B6476">
        <w:rPr>
          <w:rFonts w:ascii="Arial" w:hAnsi="Arial" w:cs="Arial"/>
          <w:color w:val="460274"/>
          <w:sz w:val="28"/>
          <w:szCs w:val="28"/>
        </w:rPr>
        <w:t xml:space="preserve">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5"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6"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73204F94"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7"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284914">
      <w:pPr>
        <w:tabs>
          <w:tab w:val="left" w:pos="10178"/>
        </w:tabs>
        <w:spacing w:after="0" w:line="240" w:lineRule="auto"/>
        <w:ind w:right="114"/>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284914">
      <w:pPr>
        <w:tabs>
          <w:tab w:val="left" w:pos="10178"/>
        </w:tabs>
        <w:spacing w:after="0" w:line="240" w:lineRule="auto"/>
        <w:ind w:right="114"/>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03F6D082" w14:textId="77777777" w:rsidR="00284914" w:rsidRPr="00323B9A" w:rsidRDefault="00284914" w:rsidP="00284914">
      <w:pPr>
        <w:spacing w:before="0" w:after="0" w:line="240" w:lineRule="auto"/>
        <w:jc w:val="both"/>
        <w:rPr>
          <w:rFonts w:cstheme="minorHAnsi"/>
          <w:color w:val="363534"/>
        </w:rPr>
      </w:pPr>
      <w:bookmarkStart w:id="3" w:name="_Hlk211264774"/>
      <w:r w:rsidRPr="00323B9A">
        <w:rPr>
          <w:rFonts w:cstheme="minorHAnsi"/>
          <w:color w:val="363534"/>
        </w:rPr>
        <w:t>The Business Analyst contributes to the successful delivery of information technology projects across the Department of Energy, Environment and Climate Action (DEECA). This role involves working collaboratively with a broad range of internal and external stakeholders with a focus on the customer/ end user’s vision and a holistic understanding of how to deliver business outcomes.</w:t>
      </w:r>
    </w:p>
    <w:p w14:paraId="2EA9B85F" w14:textId="77777777" w:rsidR="00284914" w:rsidRPr="00323B9A" w:rsidRDefault="00284914" w:rsidP="00284914">
      <w:pPr>
        <w:keepNext/>
        <w:spacing w:line="240" w:lineRule="auto"/>
        <w:ind w:right="-2"/>
        <w:rPr>
          <w:rFonts w:ascii="Arial" w:hAnsi="Arial"/>
          <w:noProof/>
          <w:color w:val="363534"/>
          <w:szCs w:val="22"/>
          <w:lang w:eastAsia="zh-CN"/>
        </w:rPr>
      </w:pPr>
      <w:r w:rsidRPr="00323B9A">
        <w:rPr>
          <w:rFonts w:ascii="Arial" w:hAnsi="Arial"/>
          <w:noProof/>
          <w:color w:val="363534"/>
          <w:szCs w:val="22"/>
          <w:lang w:eastAsia="zh-CN"/>
        </w:rPr>
        <w:t xml:space="preserve">This role, engaged primarily for the Common Technology Platform (CTP) Program, is expected to lead high quality business analysis project delivery support services to the Program. </w:t>
      </w:r>
      <w:r w:rsidRPr="00323B9A">
        <w:rPr>
          <w:rFonts w:cstheme="minorHAnsi"/>
          <w:color w:val="363534"/>
        </w:rPr>
        <w:t>The Business Analyst is responsible for supporting the delivery of the Program through to business requirements gathering and traceability as well as support the deployment, change and operational transition of various technology solutions to the business.</w:t>
      </w:r>
    </w:p>
    <w:p w14:paraId="52B16CCA" w14:textId="4012EBFE" w:rsidR="005203E2" w:rsidRPr="005203E2" w:rsidRDefault="00284914" w:rsidP="00284914">
      <w:pPr>
        <w:tabs>
          <w:tab w:val="left" w:pos="10178"/>
        </w:tabs>
        <w:spacing w:before="0" w:after="0"/>
        <w:ind w:right="114"/>
        <w:rPr>
          <w:rFonts w:ascii="Arial" w:hAnsi="Arial" w:cs="Arial"/>
          <w:noProof/>
          <w:color w:val="363534"/>
          <w:szCs w:val="22"/>
          <w:lang w:eastAsia="zh-CN"/>
        </w:rPr>
      </w:pPr>
      <w:r w:rsidRPr="00323B9A">
        <w:rPr>
          <w:rFonts w:ascii="Arial" w:hAnsi="Arial"/>
          <w:noProof/>
          <w:color w:val="363534"/>
          <w:szCs w:val="22"/>
          <w:lang w:eastAsia="zh-CN"/>
        </w:rPr>
        <w:t xml:space="preserve">To be successful in this role the Business Analyst will have strong communication and relationship building skils and experience in manageing a team of one or more business analysts. They will be working with a wide range of stakeholders across the Department facitating changes in line with the 2024-25 Financial Year </w:t>
      </w:r>
      <w:r w:rsidRPr="00323B9A">
        <w:rPr>
          <w:rFonts w:ascii="Arial" w:hAnsi="Arial"/>
          <w:color w:val="363534"/>
          <w:szCs w:val="22"/>
        </w:rPr>
        <w:t xml:space="preserve">Information Services Division </w:t>
      </w:r>
      <w:r w:rsidRPr="00323B9A">
        <w:rPr>
          <w:rFonts w:ascii="Arial" w:hAnsi="Arial"/>
          <w:noProof/>
          <w:color w:val="363534"/>
          <w:szCs w:val="22"/>
          <w:lang w:eastAsia="zh-CN"/>
        </w:rPr>
        <w:t>strategic roadmap.</w:t>
      </w:r>
      <w:bookmarkEnd w:id="3"/>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5BDE8076" w14:textId="77777777" w:rsidR="00284914" w:rsidRPr="00011C3D" w:rsidRDefault="00284914" w:rsidP="00284914">
      <w:pPr>
        <w:spacing w:before="160"/>
        <w:rPr>
          <w:rFonts w:ascii="Arial" w:hAnsi="Arial"/>
          <w:b/>
          <w:color w:val="363534"/>
          <w:szCs w:val="22"/>
        </w:rPr>
      </w:pPr>
      <w:r w:rsidRPr="00011C3D">
        <w:rPr>
          <w:rFonts w:ascii="Arial" w:hAnsi="Arial"/>
          <w:b/>
          <w:color w:val="363534"/>
          <w:szCs w:val="22"/>
        </w:rPr>
        <w:t>About the Group</w:t>
      </w:r>
    </w:p>
    <w:p w14:paraId="01F3203D"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The Corporate Services Group enables good governance, delivers efficient and effective services that meet customer needs, and partners to deliver the One-DEECA strategic framework. We provide whole-of-department services, systems, processes, policies, strategies, standards, reporting and analysis. We have a whole-of-department view and use and share insights, data and business intelligence to inform decision making across the department. </w:t>
      </w:r>
      <w:r w:rsidRPr="00011C3D">
        <w:rPr>
          <w:color w:val="363534"/>
          <w:szCs w:val="22"/>
        </w:rPr>
        <w:t> </w:t>
      </w:r>
    </w:p>
    <w:p w14:paraId="672870D1"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We also have a broader whole-of-Victorian-Government view with a focus on public sector reform and future capability. We play an important role in enabling good governance while delivering efficient and effective services that meet customer needs, working as their partner to deliver the One-DEECA strategic framework.  </w:t>
      </w:r>
      <w:r w:rsidRPr="00011C3D">
        <w:rPr>
          <w:color w:val="363534"/>
          <w:szCs w:val="22"/>
        </w:rPr>
        <w:t> </w:t>
      </w:r>
    </w:p>
    <w:p w14:paraId="157CE5A9"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Together we deliver better by working across our group and with our colleagues in other groups to deliver services across people and culture, finance, strategy, planning, information services, digital and customer communications (including the customer contact centre) and legal services.</w:t>
      </w:r>
      <w:r w:rsidRPr="00011C3D">
        <w:rPr>
          <w:color w:val="363534"/>
          <w:szCs w:val="22"/>
        </w:rPr>
        <w:t> </w:t>
      </w:r>
    </w:p>
    <w:p w14:paraId="738345CE" w14:textId="77777777" w:rsidR="00284914" w:rsidRPr="00011C3D" w:rsidRDefault="00284914" w:rsidP="00284914">
      <w:pPr>
        <w:spacing w:before="160"/>
        <w:rPr>
          <w:rFonts w:ascii="Arial" w:hAnsi="Arial"/>
          <w:b/>
          <w:color w:val="363534"/>
          <w:szCs w:val="22"/>
        </w:rPr>
      </w:pPr>
      <w:r w:rsidRPr="00011C3D">
        <w:rPr>
          <w:rFonts w:ascii="Arial" w:hAnsi="Arial"/>
          <w:b/>
          <w:color w:val="363534"/>
          <w:szCs w:val="22"/>
        </w:rPr>
        <w:t>The Division</w:t>
      </w:r>
    </w:p>
    <w:p w14:paraId="0E19DFA2"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lastRenderedPageBreak/>
        <w:t>The Information Services Division leads the provision and adoption of information and communication technology and processes, that enable business groups to achieve their strategic objectives. </w:t>
      </w:r>
    </w:p>
    <w:p w14:paraId="11A4FDA1" w14:textId="77777777" w:rsidR="00284914" w:rsidRPr="00011C3D" w:rsidRDefault="00284914" w:rsidP="00284914">
      <w:pPr>
        <w:autoSpaceDE w:val="0"/>
        <w:autoSpaceDN w:val="0"/>
        <w:adjustRightInd w:val="0"/>
        <w:jc w:val="both"/>
        <w:rPr>
          <w:rFonts w:ascii="Arial" w:hAnsi="Arial"/>
          <w:color w:val="363534"/>
          <w:szCs w:val="22"/>
        </w:rPr>
      </w:pPr>
      <w:r w:rsidRPr="00011C3D">
        <w:rPr>
          <w:rFonts w:ascii="Arial" w:hAnsi="Arial"/>
          <w:color w:val="363534"/>
          <w:szCs w:val="22"/>
        </w:rPr>
        <w:t>The focus of the division is to add value by leveraging technology and ways of working, to deliver a stable and contemporary technology environment that provides the platform for DEECA to manage its business and deliver excellent customer services. </w:t>
      </w:r>
    </w:p>
    <w:p w14:paraId="4A11F96B" w14:textId="01A2D0AD" w:rsidR="005203E2" w:rsidRPr="00F8224B" w:rsidRDefault="00284914" w:rsidP="00284914">
      <w:pPr>
        <w:keepNext/>
        <w:spacing w:line="240" w:lineRule="auto"/>
        <w:rPr>
          <w:rFonts w:ascii="Arial" w:hAnsi="Arial" w:cs="Arial"/>
          <w:noProof/>
          <w:color w:val="000000"/>
          <w:lang w:eastAsia="zh-CN"/>
        </w:rPr>
      </w:pPr>
      <w:r w:rsidRPr="00011C3D">
        <w:rPr>
          <w:rFonts w:ascii="Arial" w:hAnsi="Arial"/>
          <w:color w:val="363534"/>
          <w:szCs w:val="22"/>
        </w:rPr>
        <w:t>The Information Services Division will be at the forefront of technology solutions and expertise to best deliver our customers’ technology needs. We will apply best-practice methods and techniques to deliver, operate and govern our technology products and services, we will deliver cost-effective technology solutions and embed our customer’s needs into all our decision-making.</w:t>
      </w:r>
    </w:p>
    <w:p w14:paraId="2E9A6007"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3356E4D7"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Define, document and maintain as-is and to-be technical processes, functional specifications and system designs for project solutions  </w:t>
      </w:r>
    </w:p>
    <w:p w14:paraId="2795DCA8"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Lead the analysis, translation and validation of business and technical requirements into concise functional and technical requirements specifications for the Common Technology Platform program, ensuring that requirements statements are complete, consistent, concise, comprehensible, traceable, feasible, unambiguous, and verifiable and that they conform to standards.</w:t>
      </w:r>
    </w:p>
    <w:p w14:paraId="3B3ED69F"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Investigate current state procurement business processes, policies, and systems to determine the operational, functional and integration gaps and changes required to deliver on the strategic program objectives and related initiatives, noting alignment with scope and priorities.</w:t>
      </w:r>
    </w:p>
    <w:p w14:paraId="74BC7770"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Develop and maintain business-delivery relationships via facilitating collaborative workshops and planning sessions </w:t>
      </w:r>
      <w:proofErr w:type="spellStart"/>
      <w:r w:rsidRPr="00284914">
        <w:rPr>
          <w:rFonts w:ascii="Arial" w:hAnsi="Arial" w:cs="Arial"/>
          <w:color w:val="000000"/>
          <w:szCs w:val="22"/>
          <w:lang w:eastAsia="zh-CN"/>
        </w:rPr>
        <w:t>throught</w:t>
      </w:r>
      <w:proofErr w:type="spellEnd"/>
      <w:r w:rsidRPr="00284914">
        <w:rPr>
          <w:rFonts w:ascii="Arial" w:hAnsi="Arial" w:cs="Arial"/>
          <w:color w:val="000000"/>
          <w:szCs w:val="22"/>
          <w:lang w:eastAsia="zh-CN"/>
        </w:rPr>
        <w:t xml:space="preserve"> the course of </w:t>
      </w:r>
      <w:proofErr w:type="gramStart"/>
      <w:r w:rsidRPr="00284914">
        <w:rPr>
          <w:rFonts w:ascii="Arial" w:hAnsi="Arial" w:cs="Arial"/>
          <w:color w:val="000000"/>
          <w:szCs w:val="22"/>
          <w:lang w:eastAsia="zh-CN"/>
        </w:rPr>
        <w:t>delivery, and</w:t>
      </w:r>
      <w:proofErr w:type="gramEnd"/>
      <w:r w:rsidRPr="00284914">
        <w:rPr>
          <w:rFonts w:ascii="Arial" w:hAnsi="Arial" w:cs="Arial"/>
          <w:color w:val="000000"/>
          <w:szCs w:val="22"/>
          <w:lang w:eastAsia="zh-CN"/>
        </w:rPr>
        <w:t xml:space="preserve"> ensuring that artefacts developed are </w:t>
      </w:r>
      <w:proofErr w:type="spellStart"/>
      <w:r w:rsidRPr="00284914">
        <w:rPr>
          <w:rFonts w:ascii="Arial" w:hAnsi="Arial" w:cs="Arial"/>
          <w:color w:val="000000"/>
          <w:szCs w:val="22"/>
          <w:lang w:eastAsia="zh-CN"/>
        </w:rPr>
        <w:t>unabiguous</w:t>
      </w:r>
      <w:proofErr w:type="spellEnd"/>
      <w:r w:rsidRPr="00284914">
        <w:rPr>
          <w:rFonts w:ascii="Arial" w:hAnsi="Arial" w:cs="Arial"/>
          <w:color w:val="000000"/>
          <w:szCs w:val="22"/>
          <w:lang w:eastAsia="zh-CN"/>
        </w:rPr>
        <w:t xml:space="preserve"> with concise acceptance criteria.</w:t>
      </w:r>
    </w:p>
    <w:p w14:paraId="7D3EF02E"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Liaise with third party vendors ensuring that the Program’s requirements are completely and appropriately presented, in alignment with proper contract management and product delivery processes.</w:t>
      </w:r>
    </w:p>
    <w:p w14:paraId="72911583"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Establish and maintain strong, collaborative and productive working relationships with Program’s stakeholders within and external to the Department. </w:t>
      </w:r>
    </w:p>
    <w:p w14:paraId="42F325B8"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Support solution design via translating information from stakeholders, systems, delivery and business artifacts into clear specifications that enable quality outcomes.</w:t>
      </w:r>
    </w:p>
    <w:p w14:paraId="04FAE9AD"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 xml:space="preserve">Support organisational change management activities for the Program including providing advice on the activities and effort required to successfully undertake the organisational change, </w:t>
      </w:r>
      <w:proofErr w:type="spellStart"/>
      <w:r w:rsidRPr="00284914">
        <w:rPr>
          <w:rFonts w:ascii="Arial" w:hAnsi="Arial" w:cs="Arial"/>
          <w:color w:val="000000"/>
          <w:szCs w:val="22"/>
          <w:lang w:eastAsia="zh-CN"/>
        </w:rPr>
        <w:t>advisce</w:t>
      </w:r>
      <w:proofErr w:type="spellEnd"/>
      <w:r w:rsidRPr="00284914">
        <w:rPr>
          <w:rFonts w:ascii="Arial" w:hAnsi="Arial" w:cs="Arial"/>
          <w:color w:val="000000"/>
          <w:szCs w:val="22"/>
          <w:lang w:eastAsia="zh-CN"/>
        </w:rPr>
        <w:t xml:space="preserve"> on appropriate training techniques and materials to achieve organisational change, stakeholder analysis, change impact assessments, communication and engagement plans, business and change readiness and change effectiveness.  </w:t>
      </w:r>
    </w:p>
    <w:p w14:paraId="28E33F8E" w14:textId="77777777" w:rsidR="00284914" w:rsidRPr="00284914" w:rsidRDefault="00284914" w:rsidP="00284914">
      <w:pPr>
        <w:numPr>
          <w:ilvl w:val="0"/>
          <w:numId w:val="42"/>
        </w:numPr>
        <w:spacing w:before="60" w:after="0" w:line="240" w:lineRule="auto"/>
        <w:ind w:left="357" w:hanging="357"/>
        <w:rPr>
          <w:rFonts w:ascii="Arial" w:hAnsi="Arial" w:cs="Arial"/>
          <w:color w:val="000000"/>
          <w:szCs w:val="22"/>
          <w:lang w:eastAsia="zh-CN"/>
        </w:rPr>
      </w:pPr>
      <w:r w:rsidRPr="00284914">
        <w:rPr>
          <w:rFonts w:ascii="Arial" w:hAnsi="Arial" w:cs="Arial"/>
          <w:color w:val="000000"/>
          <w:szCs w:val="22"/>
          <w:lang w:eastAsia="zh-CN"/>
        </w:rPr>
        <w:t>Ensure the highest ethical standards in the achievement of corporate objectives, based on a strong commitment to the DEECA values of Teamwork, Ownership, Wellbeing and Safety, and Service Excellence.</w:t>
      </w:r>
    </w:p>
    <w:p w14:paraId="5E55A77A" w14:textId="681F0EF9" w:rsidR="00F8224B" w:rsidRPr="00284914" w:rsidRDefault="00284914" w:rsidP="00284914">
      <w:pPr>
        <w:numPr>
          <w:ilvl w:val="0"/>
          <w:numId w:val="42"/>
        </w:numPr>
        <w:spacing w:before="60" w:after="0" w:line="240" w:lineRule="auto"/>
        <w:ind w:left="357" w:hanging="357"/>
        <w:rPr>
          <w:rFonts w:ascii="Arial" w:hAnsi="Arial" w:cs="Arial"/>
          <w:color w:val="363534"/>
          <w:szCs w:val="22"/>
        </w:rPr>
      </w:pPr>
      <w:r w:rsidRPr="00284914">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0FE47FAC"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Key Selection Criteria</w:t>
      </w:r>
    </w:p>
    <w:p w14:paraId="4C029B3D" w14:textId="77777777" w:rsidR="005203E2" w:rsidRDefault="005203E2" w:rsidP="005203E2">
      <w:pPr>
        <w:spacing w:before="0" w:after="0"/>
        <w:rPr>
          <w:rFonts w:ascii="Arial" w:hAnsi="Arial" w:cs="Arial"/>
          <w:color w:val="363534"/>
          <w:szCs w:val="22"/>
        </w:rPr>
      </w:pPr>
      <w:r w:rsidRPr="005203E2">
        <w:rPr>
          <w:rFonts w:ascii="Arial" w:hAnsi="Arial" w:cs="Arial"/>
          <w:color w:val="363534"/>
          <w:szCs w:val="22"/>
        </w:rPr>
        <w:t>The key selection criteria specified below outline the capabilities required for the position.</w:t>
      </w:r>
    </w:p>
    <w:p w14:paraId="42B882EE" w14:textId="77777777" w:rsidR="004D68FC" w:rsidRDefault="006E30B6" w:rsidP="004D68FC">
      <w:pPr>
        <w:spacing w:before="0" w:after="0"/>
        <w:rPr>
          <w:rFonts w:ascii="Arial" w:hAnsi="Arial" w:cs="Arial"/>
          <w:color w:val="363534"/>
          <w:szCs w:val="22"/>
          <w:lang w:val="en-US"/>
        </w:rPr>
      </w:pPr>
      <w:r w:rsidRPr="006E30B6">
        <w:rPr>
          <w:rFonts w:ascii="Arial" w:hAnsi="Arial" w:cs="Arial"/>
          <w:color w:val="363534"/>
          <w:szCs w:val="22"/>
          <w:lang w:val="en-US"/>
        </w:rPr>
        <w:t> </w:t>
      </w:r>
    </w:p>
    <w:p w14:paraId="1B0A3E04" w14:textId="56958FBF" w:rsidR="005203E2" w:rsidRPr="004D68FC" w:rsidRDefault="005203E2" w:rsidP="004D68FC">
      <w:pPr>
        <w:spacing w:before="0" w:after="0"/>
        <w:rPr>
          <w:rFonts w:ascii="Arial" w:hAnsi="Arial" w:cs="Arial"/>
          <w:color w:val="363534"/>
          <w:szCs w:val="22"/>
          <w:lang w:val="en-US"/>
        </w:rPr>
      </w:pPr>
      <w:r w:rsidRPr="005203E2">
        <w:rPr>
          <w:rFonts w:ascii="Arial" w:hAnsi="Arial" w:cs="Arial"/>
          <w:b/>
          <w:color w:val="363534"/>
          <w:szCs w:val="22"/>
        </w:rPr>
        <w:t>Specialist/Technical Expertise/Qualifications</w:t>
      </w:r>
    </w:p>
    <w:p w14:paraId="45ECF10F"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bookmarkStart w:id="4" w:name="_Hlk211264792"/>
      <w:r w:rsidRPr="00011C3D">
        <w:rPr>
          <w:rFonts w:ascii="Arial" w:hAnsi="Arial"/>
          <w:color w:val="363534"/>
          <w:lang w:eastAsia="zh-CN"/>
        </w:rPr>
        <w:t>Business Analysis qualifications (e.g., CBAP)</w:t>
      </w:r>
    </w:p>
    <w:p w14:paraId="2DE8AFA8"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Relevant tertiary qualification in Business / Information Systems</w:t>
      </w:r>
    </w:p>
    <w:p w14:paraId="52A78663"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Project management qualifications (Agile and Waterfall)</w:t>
      </w:r>
    </w:p>
    <w:p w14:paraId="7FDB734E"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 xml:space="preserve">Minimum 5 years working in an analyst role or similar on IT and Business change corporate projects / programs would be highly desirable. </w:t>
      </w:r>
    </w:p>
    <w:p w14:paraId="20E37465" w14:textId="77777777" w:rsidR="00284914" w:rsidRPr="00011C3D" w:rsidRDefault="00284914" w:rsidP="00284914">
      <w:pPr>
        <w:pStyle w:val="ListParagraph"/>
        <w:numPr>
          <w:ilvl w:val="0"/>
          <w:numId w:val="42"/>
        </w:numPr>
        <w:spacing w:before="60" w:after="0" w:line="240" w:lineRule="auto"/>
        <w:ind w:left="357" w:hanging="357"/>
        <w:contextualSpacing w:val="0"/>
        <w:rPr>
          <w:rFonts w:ascii="Arial" w:hAnsi="Arial"/>
          <w:b/>
          <w:color w:val="363534"/>
        </w:rPr>
      </w:pPr>
      <w:r w:rsidRPr="00011C3D">
        <w:rPr>
          <w:rFonts w:ascii="Arial" w:hAnsi="Arial"/>
          <w:color w:val="363534"/>
          <w:lang w:eastAsia="zh-CN"/>
        </w:rPr>
        <w:t>Excellent oral and written communication skills, including the ability to write high quality reports, deliver presentation and run requirements workshops, business case development and have experience presenting information to technical and non-technical stakeholders.</w:t>
      </w:r>
    </w:p>
    <w:p w14:paraId="50F50050" w14:textId="77777777" w:rsidR="00284914" w:rsidRPr="00011C3D" w:rsidRDefault="00284914" w:rsidP="00284914">
      <w:pPr>
        <w:pStyle w:val="ListParagraph"/>
        <w:numPr>
          <w:ilvl w:val="0"/>
          <w:numId w:val="42"/>
        </w:numPr>
        <w:spacing w:before="60" w:after="0" w:line="240" w:lineRule="auto"/>
        <w:ind w:left="357" w:hanging="357"/>
        <w:contextualSpacing w:val="0"/>
        <w:rPr>
          <w:rStyle w:val="eop"/>
          <w:rFonts w:ascii="Arial" w:hAnsi="Arial"/>
          <w:b/>
          <w:color w:val="363534"/>
        </w:rPr>
      </w:pPr>
      <w:r w:rsidRPr="00011C3D">
        <w:rPr>
          <w:rStyle w:val="normaltextrun"/>
          <w:rFonts w:ascii="Arial" w:hAnsi="Arial"/>
          <w:color w:val="363534"/>
          <w:shd w:val="clear" w:color="auto" w:fill="FFFFFF"/>
        </w:rPr>
        <w:t>Experience engaging with a wide variety of stakeholders and facilitating workshop engagements to gather requirements suitable for agile deliver</w:t>
      </w:r>
      <w:r>
        <w:rPr>
          <w:rStyle w:val="normaltextrun"/>
          <w:rFonts w:ascii="Arial" w:hAnsi="Arial"/>
          <w:color w:val="363534"/>
          <w:shd w:val="clear" w:color="auto" w:fill="FFFFFF"/>
        </w:rPr>
        <w:t>.</w:t>
      </w:r>
    </w:p>
    <w:p w14:paraId="267F96CE" w14:textId="77777777" w:rsidR="00284914" w:rsidRPr="00284914" w:rsidRDefault="00284914" w:rsidP="00284914">
      <w:pPr>
        <w:pStyle w:val="paragraph"/>
        <w:numPr>
          <w:ilvl w:val="0"/>
          <w:numId w:val="42"/>
        </w:numPr>
        <w:spacing w:before="60" w:beforeAutospacing="0" w:after="0" w:afterAutospacing="0"/>
        <w:ind w:left="357" w:hanging="357"/>
        <w:textAlignment w:val="baseline"/>
        <w:rPr>
          <w:rStyle w:val="normaltextrun"/>
          <w:rFonts w:ascii="Arial" w:hAnsi="Arial" w:cs="Arial"/>
          <w:color w:val="363534"/>
          <w:sz w:val="18"/>
          <w:szCs w:val="18"/>
        </w:rPr>
      </w:pPr>
      <w:r>
        <w:rPr>
          <w:rStyle w:val="normaltextrun"/>
          <w:rFonts w:ascii="Arial" w:hAnsi="Arial" w:cs="Arial"/>
          <w:color w:val="363534"/>
          <w:sz w:val="20"/>
          <w:szCs w:val="20"/>
        </w:rPr>
        <w:t>E</w:t>
      </w:r>
      <w:r w:rsidRPr="00011C3D">
        <w:rPr>
          <w:rStyle w:val="normaltextrun"/>
          <w:rFonts w:ascii="Arial" w:hAnsi="Arial" w:cs="Arial"/>
          <w:color w:val="363534"/>
          <w:sz w:val="20"/>
          <w:szCs w:val="20"/>
        </w:rPr>
        <w:t>xperience working as part of cross functional agile delivery teams and participation in agile ceremonies.</w:t>
      </w:r>
    </w:p>
    <w:p w14:paraId="42EB6CD2" w14:textId="42CF51BD" w:rsidR="00284914" w:rsidRPr="00284914" w:rsidRDefault="00284914" w:rsidP="00284914">
      <w:pPr>
        <w:pStyle w:val="paragraph"/>
        <w:numPr>
          <w:ilvl w:val="0"/>
          <w:numId w:val="42"/>
        </w:numPr>
        <w:spacing w:before="60" w:beforeAutospacing="0" w:after="0" w:afterAutospacing="0"/>
        <w:ind w:left="357" w:hanging="357"/>
        <w:textAlignment w:val="baseline"/>
        <w:rPr>
          <w:rStyle w:val="normaltextrun"/>
          <w:rFonts w:ascii="Arial" w:hAnsi="Arial" w:cs="Arial"/>
          <w:color w:val="363534"/>
          <w:sz w:val="18"/>
          <w:szCs w:val="18"/>
        </w:rPr>
      </w:pPr>
      <w:r w:rsidRPr="00284914">
        <w:rPr>
          <w:rStyle w:val="normaltextrun"/>
          <w:rFonts w:ascii="Arial" w:hAnsi="Arial" w:cs="Arial"/>
          <w:color w:val="363534"/>
          <w:sz w:val="20"/>
          <w:szCs w:val="20"/>
        </w:rPr>
        <w:lastRenderedPageBreak/>
        <w:t>Experience working collaboratively with a product owner and other business analysts to create project artefacts.</w:t>
      </w:r>
      <w:bookmarkEnd w:id="4"/>
    </w:p>
    <w:p w14:paraId="4B12C9D8" w14:textId="14A2C1A4" w:rsidR="005203E2" w:rsidRPr="005203E2" w:rsidRDefault="005203E2" w:rsidP="00284914">
      <w:pPr>
        <w:spacing w:before="160" w:after="0"/>
        <w:rPr>
          <w:rFonts w:ascii="Arial" w:hAnsi="Arial" w:cs="Arial"/>
          <w:b/>
          <w:color w:val="363534"/>
        </w:rPr>
      </w:pPr>
      <w:r w:rsidRPr="005203E2">
        <w:rPr>
          <w:rFonts w:ascii="Arial" w:hAnsi="Arial" w:cs="Arial"/>
          <w:b/>
          <w:color w:val="363534"/>
        </w:rPr>
        <w:t>Capabilities</w:t>
      </w:r>
    </w:p>
    <w:p w14:paraId="474B37B3"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Partnering and Co-Creation: Identifies and partners with users/stakeholders/experts to ensure active collaboration in the design process to understand user needs, obtain ideas, insights and input. Ensures decisions are made within agreed timeframes.</w:t>
      </w:r>
    </w:p>
    <w:p w14:paraId="2BA4A4CC"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 xml:space="preserve">Stakeholder Engagement: Identifies and manages a range of complex and often competing needs; Facilitates innovative solutions to resolve stakeholder issues. </w:t>
      </w:r>
    </w:p>
    <w:p w14:paraId="6652E69F"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 xml:space="preserve">Systems Thinking: Formulates potential courses of action to achieve objectives based on an in-depth understanding of the business environment &amp; its systems; Champions the common technology platform strategy across the organisation and VPS more broadly acting as a thought leader in this area; Establishes an integrated perspective of the organisation’s systems &amp; identifies the leverage points where intervention will add value. </w:t>
      </w:r>
    </w:p>
    <w:p w14:paraId="15664AAA"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 xml:space="preserve">Critical Thinking and Problem Solving: </w:t>
      </w:r>
      <w:proofErr w:type="gramStart"/>
      <w:r w:rsidRPr="00284914">
        <w:rPr>
          <w:rFonts w:ascii="Arial" w:hAnsi="Arial" w:cs="Arial"/>
          <w:color w:val="000000"/>
          <w:lang w:eastAsia="zh-CN"/>
        </w:rPr>
        <w:t>Takes into account</w:t>
      </w:r>
      <w:proofErr w:type="gramEnd"/>
      <w:r w:rsidRPr="00284914">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284914">
        <w:rPr>
          <w:rFonts w:ascii="Arial" w:hAnsi="Arial" w:cs="Arial"/>
          <w:color w:val="000000"/>
          <w:lang w:eastAsia="zh-CN"/>
        </w:rPr>
        <w:t>as a result of</w:t>
      </w:r>
      <w:proofErr w:type="gramEnd"/>
      <w:r w:rsidRPr="00284914">
        <w:rPr>
          <w:rFonts w:ascii="Arial" w:hAnsi="Arial" w:cs="Arial"/>
          <w:color w:val="000000"/>
          <w:lang w:eastAsia="zh-CN"/>
        </w:rPr>
        <w:t xml:space="preserve"> critically evaluating problems from multiple perspectives and delivering effective solutions.</w:t>
      </w:r>
    </w:p>
    <w:p w14:paraId="104B1AA0" w14:textId="77777777" w:rsidR="00284914"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Project Delivery:  Defines tasks to be delivered to meet agreed outcomes; Coordinates and guides others in the execution of work activities; Monitors progress of tasks against plans and takes corrective action when required.</w:t>
      </w:r>
    </w:p>
    <w:p w14:paraId="6F92A131" w14:textId="27F8862E" w:rsidR="004D68FC" w:rsidRPr="00284914" w:rsidRDefault="00284914" w:rsidP="00284914">
      <w:pPr>
        <w:numPr>
          <w:ilvl w:val="0"/>
          <w:numId w:val="42"/>
        </w:numPr>
        <w:spacing w:before="60" w:after="0" w:line="240" w:lineRule="auto"/>
        <w:ind w:left="357" w:hanging="357"/>
        <w:rPr>
          <w:rFonts w:ascii="Arial" w:hAnsi="Arial" w:cs="Arial"/>
          <w:color w:val="000000"/>
          <w:lang w:eastAsia="zh-CN"/>
        </w:rPr>
      </w:pPr>
      <w:r w:rsidRPr="00284914">
        <w:rPr>
          <w:rFonts w:ascii="Arial" w:hAnsi="Arial" w:cs="Arial"/>
          <w:color w:val="000000"/>
          <w:lang w:eastAsia="zh-CN"/>
        </w:rPr>
        <w:t>Influence and Persuasion: Gains agreement to proposals &amp; ideas; Build behind the scenes support for ideas to ensure buy-in &amp; ownership; Uses chains of indirect influence to achieve outcomes; Involves experts or other third parties to strengthen case.</w:t>
      </w: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5"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363AF2C6"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w:t>
            </w:r>
            <w:r w:rsidR="00284914">
              <w:rPr>
                <w:rFonts w:cs="Arial"/>
                <w:color w:val="1A1A1A"/>
                <w:sz w:val="20"/>
              </w:rPr>
              <w:t>0</w:t>
            </w:r>
            <w:r w:rsidRPr="005203E2">
              <w:rPr>
                <w:rFonts w:cs="Arial"/>
                <w:color w:val="1A1A1A"/>
                <w:sz w:val="20"/>
              </w:rPr>
              <w:t xml:space="preserve">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169E052" w14:textId="59527737" w:rsidR="005203E2" w:rsidRPr="00D90634" w:rsidRDefault="005203E2" w:rsidP="00284914">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tc>
        <w:tc>
          <w:tcPr>
            <w:tcW w:w="6803" w:type="dxa"/>
            <w:shd w:val="clear" w:color="auto" w:fill="auto"/>
          </w:tcPr>
          <w:p w14:paraId="78803C41" w14:textId="1748A79A" w:rsidR="005203E2" w:rsidRPr="00284914" w:rsidRDefault="005203E2" w:rsidP="00284914">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4C3526AF" w14:textId="4D524BEA"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D90634">
              <w:rPr>
                <w:rFonts w:ascii="Arial" w:hAnsi="Arial" w:cs="Arial"/>
                <w:color w:val="1A1A1A"/>
                <w:sz w:val="20"/>
              </w:rPr>
              <w:t>Confirmation of Aboriginality will be required for appointment to this position. For assistance contact the Aboriginal Employment and Cultural Strategy team at:</w:t>
            </w:r>
            <w:r w:rsidRPr="004D68FC">
              <w:rPr>
                <w:rFonts w:ascii="Arial" w:hAnsi="Arial" w:cs="Arial"/>
                <w:color w:val="1A1A1A"/>
                <w:sz w:val="22"/>
                <w:szCs w:val="22"/>
              </w:rPr>
              <w:t xml:space="preserve"> </w:t>
            </w:r>
            <w:hyperlink r:id="rId28" w:history="1">
              <w:r w:rsidR="00875155" w:rsidRPr="004D68FC">
                <w:rPr>
                  <w:rStyle w:val="Hyperlink"/>
                  <w:rFonts w:ascii="Arial" w:hAnsi="Arial" w:cs="Arial"/>
                  <w:sz w:val="20"/>
                  <w:szCs w:val="22"/>
                  <w:shd w:val="clear" w:color="auto" w:fill="FFFFFF"/>
                </w:rPr>
                <w:t>aboriginal.employment@deeca.vic.gov.au</w:t>
              </w:r>
            </w:hyperlink>
          </w:p>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5AEBFA2" w14:textId="623898AC" w:rsidR="005203E2" w:rsidRPr="00D90634" w:rsidRDefault="005203E2" w:rsidP="0028491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5"/>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3C4BC38C" w14:textId="77777777" w:rsidR="00441BA5" w:rsidRDefault="00441BA5" w:rsidP="005203E2">
      <w:pPr>
        <w:spacing w:before="0" w:after="0" w:line="240" w:lineRule="auto"/>
        <w:rPr>
          <w:rFonts w:ascii="Arial" w:hAnsi="Arial" w:cs="Arial"/>
          <w:color w:val="333333"/>
        </w:rPr>
      </w:pPr>
      <w:r w:rsidRPr="00441BA5">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5428CCF5"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w:t>
      </w:r>
      <w:r w:rsidRPr="005203E2">
        <w:rPr>
          <w:rFonts w:ascii="Arial" w:hAnsi="Arial" w:cs="Arial"/>
          <w:color w:val="333333"/>
        </w:rPr>
        <w:lastRenderedPageBreak/>
        <w:t>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9"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30"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31"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sectPr w:rsidR="005203E2" w:rsidRPr="005203E2" w:rsidSect="005203E2">
      <w:headerReference w:type="default" r:id="rId32"/>
      <w:head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D1F1" w14:textId="77777777" w:rsidR="00897B3D" w:rsidRDefault="00897B3D" w:rsidP="00CD157B">
      <w:pPr>
        <w:pStyle w:val="NoSpacing"/>
      </w:pPr>
    </w:p>
    <w:p w14:paraId="7FA9DD31" w14:textId="77777777" w:rsidR="00897B3D" w:rsidRDefault="00897B3D"/>
  </w:endnote>
  <w:endnote w:type="continuationSeparator" w:id="0">
    <w:p w14:paraId="000AFE0A" w14:textId="77777777" w:rsidR="00897B3D" w:rsidRDefault="00897B3D" w:rsidP="00CD157B">
      <w:pPr>
        <w:pStyle w:val="NoSpacing"/>
      </w:pPr>
    </w:p>
    <w:p w14:paraId="40C07DD4" w14:textId="77777777" w:rsidR="00897B3D" w:rsidRDefault="00897B3D"/>
  </w:endnote>
  <w:endnote w:type="continuationNotice" w:id="1">
    <w:p w14:paraId="51956C9B" w14:textId="77777777" w:rsidR="00897B3D" w:rsidRDefault="00897B3D" w:rsidP="00CD157B">
      <w:pPr>
        <w:pStyle w:val="NoSpacing"/>
      </w:pPr>
    </w:p>
    <w:p w14:paraId="6C745E62" w14:textId="77777777" w:rsidR="00897B3D" w:rsidRDefault="0089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3AAC29BB" w:rsidR="009F63F8" w:rsidRPr="00810C40" w:rsidRDefault="009F63F8"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4</w:t>
    </w:r>
    <w:r w:rsidRPr="3365DD6E">
      <w:rPr>
        <w:b/>
      </w:rPr>
      <w:fldChar w:fldCharType="end"/>
    </w:r>
    <w:r>
      <w:tab/>
    </w:r>
    <w:r w:rsidR="00F44A21">
      <w:rPr>
        <w:rFonts w:ascii="Arial" w:eastAsia="Arial" w:hAnsi="Arial" w:cs="Arial"/>
        <w:sz w:val="20"/>
      </w:rPr>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3359219D" w:rsidR="00B2215B" w:rsidRPr="00810C40" w:rsidRDefault="00B2215B"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2</w:t>
    </w:r>
    <w:r w:rsidRPr="3365DD6E">
      <w:rPr>
        <w:b/>
      </w:rPr>
      <w:fldChar w:fldCharType="end"/>
    </w:r>
    <w:r>
      <w:tab/>
    </w:r>
    <w:r w:rsidR="00F44A21">
      <w:rPr>
        <w:rFonts w:ascii="Arial" w:eastAsia="Arial" w:hAnsi="Arial" w:cs="Arial"/>
        <w:sz w:val="20"/>
      </w:rPr>
      <w:t>March</w:t>
    </w:r>
    <w:r w:rsidR="3365DD6E" w:rsidRPr="3365DD6E">
      <w:rPr>
        <w:rFonts w:ascii="Arial" w:eastAsia="Arial" w:hAnsi="Arial" w:cs="Arial"/>
        <w:sz w:val="20"/>
      </w:rPr>
      <w:t xml:space="preserve"> 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79231"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9F2E" w14:textId="77777777" w:rsidR="00897B3D" w:rsidRPr="0056073C" w:rsidRDefault="00897B3D" w:rsidP="005D764F">
      <w:pPr>
        <w:pStyle w:val="FootnoteSeparator"/>
      </w:pPr>
    </w:p>
    <w:p w14:paraId="6F168059" w14:textId="77777777" w:rsidR="00897B3D" w:rsidRDefault="00897B3D"/>
  </w:footnote>
  <w:footnote w:type="continuationSeparator" w:id="0">
    <w:p w14:paraId="30F1BF7B" w14:textId="77777777" w:rsidR="00897B3D" w:rsidRPr="00CA30B7" w:rsidRDefault="00897B3D" w:rsidP="006D5A90">
      <w:pPr>
        <w:rPr>
          <w:lang w:val="en-US"/>
        </w:rPr>
      </w:pPr>
      <w:r w:rsidRPr="00CA30B7">
        <w:rPr>
          <w:lang w:val="en-US"/>
        </w:rPr>
        <w:t>_______</w:t>
      </w:r>
    </w:p>
    <w:p w14:paraId="454BA7DA" w14:textId="77777777" w:rsidR="00897B3D" w:rsidRDefault="00897B3D"/>
  </w:footnote>
  <w:footnote w:type="continuationNotice" w:id="1">
    <w:p w14:paraId="175FE272" w14:textId="77777777" w:rsidR="00897B3D" w:rsidRDefault="00897B3D" w:rsidP="006D5A90"/>
    <w:p w14:paraId="547EEB48" w14:textId="77777777" w:rsidR="00897B3D" w:rsidRDefault="00897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C1E66C"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70BE8"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6A535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5C8A7F"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1D46A1"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E19A9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6B6C5BF0" w14:textId="77777777" w:rsidTr="3365DD6E">
      <w:trPr>
        <w:trHeight w:val="300"/>
      </w:trPr>
      <w:tc>
        <w:tcPr>
          <w:tcW w:w="3400" w:type="dxa"/>
        </w:tcPr>
        <w:p w14:paraId="136C7BD5" w14:textId="30347391" w:rsidR="3365DD6E" w:rsidRDefault="3365DD6E" w:rsidP="3365DD6E">
          <w:pPr>
            <w:pStyle w:val="Header"/>
            <w:ind w:left="-115"/>
          </w:pPr>
        </w:p>
      </w:tc>
      <w:tc>
        <w:tcPr>
          <w:tcW w:w="3400" w:type="dxa"/>
        </w:tcPr>
        <w:p w14:paraId="5A8E3D52" w14:textId="6A1D4FE5" w:rsidR="3365DD6E" w:rsidRDefault="3365DD6E" w:rsidP="3365DD6E">
          <w:pPr>
            <w:pStyle w:val="Header"/>
            <w:jc w:val="center"/>
          </w:pPr>
        </w:p>
      </w:tc>
      <w:tc>
        <w:tcPr>
          <w:tcW w:w="3400" w:type="dxa"/>
        </w:tcPr>
        <w:p w14:paraId="0308B65F" w14:textId="034E788D" w:rsidR="3365DD6E" w:rsidRDefault="3365DD6E" w:rsidP="3365DD6E">
          <w:pPr>
            <w:pStyle w:val="Header"/>
            <w:ind w:right="-115"/>
            <w:jc w:val="right"/>
          </w:pPr>
        </w:p>
      </w:tc>
    </w:tr>
  </w:tbl>
  <w:p w14:paraId="79AD9FA3" w14:textId="0F1D69BC" w:rsidR="3365DD6E" w:rsidRDefault="3365DD6E" w:rsidP="3365D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528FB2B1" w14:textId="77777777" w:rsidTr="3365DD6E">
      <w:trPr>
        <w:trHeight w:val="300"/>
      </w:trPr>
      <w:tc>
        <w:tcPr>
          <w:tcW w:w="3400" w:type="dxa"/>
        </w:tcPr>
        <w:p w14:paraId="29F124FD" w14:textId="1B4F92C1" w:rsidR="3365DD6E" w:rsidRDefault="3365DD6E" w:rsidP="3365DD6E">
          <w:pPr>
            <w:pStyle w:val="Header"/>
            <w:ind w:left="-115"/>
          </w:pPr>
        </w:p>
      </w:tc>
      <w:tc>
        <w:tcPr>
          <w:tcW w:w="3400" w:type="dxa"/>
        </w:tcPr>
        <w:p w14:paraId="0E97DF75" w14:textId="7FFB8EBD" w:rsidR="3365DD6E" w:rsidRDefault="3365DD6E" w:rsidP="3365DD6E">
          <w:pPr>
            <w:pStyle w:val="Header"/>
            <w:jc w:val="center"/>
          </w:pPr>
        </w:p>
      </w:tc>
      <w:tc>
        <w:tcPr>
          <w:tcW w:w="3400" w:type="dxa"/>
        </w:tcPr>
        <w:p w14:paraId="56192FB8" w14:textId="1F27CD76" w:rsidR="3365DD6E" w:rsidRDefault="3365DD6E" w:rsidP="3365DD6E">
          <w:pPr>
            <w:pStyle w:val="Header"/>
            <w:ind w:right="-115"/>
            <w:jc w:val="right"/>
          </w:pPr>
        </w:p>
      </w:tc>
    </w:tr>
  </w:tbl>
  <w:p w14:paraId="40C6ACAE" w14:textId="47775C1D" w:rsidR="3365DD6E" w:rsidRDefault="3365DD6E" w:rsidP="3365D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D8C777"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17C72"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A5751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23E17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5C1A02"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43D215"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31BDD5E4" w14:textId="77777777" w:rsidTr="3365DD6E">
      <w:trPr>
        <w:trHeight w:val="300"/>
      </w:trPr>
      <w:tc>
        <w:tcPr>
          <w:tcW w:w="3400" w:type="dxa"/>
        </w:tcPr>
        <w:p w14:paraId="1B1E2653" w14:textId="7659ACBA" w:rsidR="3365DD6E" w:rsidRDefault="3365DD6E" w:rsidP="3365DD6E">
          <w:pPr>
            <w:pStyle w:val="Header"/>
            <w:ind w:left="-115"/>
          </w:pPr>
        </w:p>
      </w:tc>
      <w:tc>
        <w:tcPr>
          <w:tcW w:w="3400" w:type="dxa"/>
        </w:tcPr>
        <w:p w14:paraId="7DC99267" w14:textId="68776C5C" w:rsidR="3365DD6E" w:rsidRDefault="3365DD6E" w:rsidP="3365DD6E">
          <w:pPr>
            <w:pStyle w:val="Header"/>
            <w:jc w:val="center"/>
          </w:pPr>
        </w:p>
      </w:tc>
      <w:tc>
        <w:tcPr>
          <w:tcW w:w="3400" w:type="dxa"/>
        </w:tcPr>
        <w:p w14:paraId="4A73F569" w14:textId="780E8A48" w:rsidR="3365DD6E" w:rsidRDefault="3365DD6E" w:rsidP="3365DD6E">
          <w:pPr>
            <w:pStyle w:val="Header"/>
            <w:ind w:right="-115"/>
            <w:jc w:val="right"/>
          </w:pPr>
        </w:p>
      </w:tc>
    </w:tr>
  </w:tbl>
  <w:p w14:paraId="38078ABC" w14:textId="59B539F8" w:rsidR="3365DD6E" w:rsidRDefault="3365DD6E" w:rsidP="3365D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5E7C7417"/>
    <w:multiLevelType w:val="hybridMultilevel"/>
    <w:tmpl w:val="EB1E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566483">
    <w:abstractNumId w:val="15"/>
  </w:num>
  <w:num w:numId="42" w16cid:durableId="1511093913">
    <w:abstractNumId w:val="7"/>
  </w:num>
  <w:num w:numId="43" w16cid:durableId="1722752675">
    <w:abstractNumId w:val="37"/>
  </w:num>
  <w:num w:numId="44" w16cid:durableId="446243337">
    <w:abstractNumId w:val="30"/>
  </w:num>
  <w:num w:numId="45" w16cid:durableId="102192312">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38"/>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D2E"/>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6F99"/>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357"/>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914"/>
    <w:rsid w:val="00284B9E"/>
    <w:rsid w:val="002857D1"/>
    <w:rsid w:val="00286CD4"/>
    <w:rsid w:val="00287757"/>
    <w:rsid w:val="00287881"/>
    <w:rsid w:val="00287D5B"/>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630"/>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385"/>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336"/>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11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BA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B89"/>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B1"/>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AB7"/>
    <w:rsid w:val="00513D22"/>
    <w:rsid w:val="00514C53"/>
    <w:rsid w:val="00516437"/>
    <w:rsid w:val="00517156"/>
    <w:rsid w:val="00517176"/>
    <w:rsid w:val="005172CF"/>
    <w:rsid w:val="0051780B"/>
    <w:rsid w:val="005203E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0F6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326"/>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FB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CCB"/>
    <w:rsid w:val="00694D4B"/>
    <w:rsid w:val="00694F35"/>
    <w:rsid w:val="006953A7"/>
    <w:rsid w:val="00695A70"/>
    <w:rsid w:val="00697BAB"/>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EA6"/>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8C2"/>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FC2"/>
    <w:rsid w:val="008B3E1B"/>
    <w:rsid w:val="008B4899"/>
    <w:rsid w:val="008B4DF1"/>
    <w:rsid w:val="008B634B"/>
    <w:rsid w:val="008B6764"/>
    <w:rsid w:val="008B6856"/>
    <w:rsid w:val="008B769A"/>
    <w:rsid w:val="008B776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A2C"/>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A62"/>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59B5"/>
    <w:rsid w:val="00A05B0B"/>
    <w:rsid w:val="00A05B87"/>
    <w:rsid w:val="00A06056"/>
    <w:rsid w:val="00A0688C"/>
    <w:rsid w:val="00A07CED"/>
    <w:rsid w:val="00A10499"/>
    <w:rsid w:val="00A1198A"/>
    <w:rsid w:val="00A120F3"/>
    <w:rsid w:val="00A12E40"/>
    <w:rsid w:val="00A13BA1"/>
    <w:rsid w:val="00A1473C"/>
    <w:rsid w:val="00A14905"/>
    <w:rsid w:val="00A150BD"/>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204"/>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2A"/>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1CFB"/>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E9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0D9"/>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38C"/>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7FC"/>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E19"/>
    <w:rsid w:val="00E50F38"/>
    <w:rsid w:val="00E514E3"/>
    <w:rsid w:val="00E5184B"/>
    <w:rsid w:val="00E51AF9"/>
    <w:rsid w:val="00E5234E"/>
    <w:rsid w:val="00E53ADF"/>
    <w:rsid w:val="00E53BCD"/>
    <w:rsid w:val="00E5409A"/>
    <w:rsid w:val="00E54D85"/>
    <w:rsid w:val="00E56B16"/>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4F0"/>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237"/>
    <w:rsid w:val="00EC662D"/>
    <w:rsid w:val="00EC6CDA"/>
    <w:rsid w:val="00EC6E3B"/>
    <w:rsid w:val="00EC7B57"/>
    <w:rsid w:val="00ED050D"/>
    <w:rsid w:val="00ED087A"/>
    <w:rsid w:val="00ED21EB"/>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E24"/>
    <w:rsid w:val="00EE4FF5"/>
    <w:rsid w:val="00EE521D"/>
    <w:rsid w:val="00EE59CC"/>
    <w:rsid w:val="00EE6450"/>
    <w:rsid w:val="00EE64AC"/>
    <w:rsid w:val="00EE6632"/>
    <w:rsid w:val="00EE718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B88"/>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565"/>
    <w:rsid w:val="00F44A21"/>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10"/>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ED7F1C"/>
    <w:rsid w:val="0B8022C1"/>
    <w:rsid w:val="2B93B3B3"/>
    <w:rsid w:val="328D254E"/>
    <w:rsid w:val="3365DD6E"/>
    <w:rsid w:val="36DF44E8"/>
    <w:rsid w:val="3A32ABE0"/>
    <w:rsid w:val="3D0892E3"/>
    <w:rsid w:val="405D3063"/>
    <w:rsid w:val="433D5A06"/>
    <w:rsid w:val="52092916"/>
    <w:rsid w:val="526D50CE"/>
    <w:rsid w:val="535C5853"/>
    <w:rsid w:val="61D87D41"/>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9F3E0F53-D58B-42D4-80BA-399BA575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41"/>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character" w:customStyle="1" w:styleId="eop">
    <w:name w:val="eop"/>
    <w:basedOn w:val="DefaultParagraphFont"/>
    <w:rsid w:val="00284914"/>
  </w:style>
  <w:style w:type="paragraph" w:customStyle="1" w:styleId="paragraph">
    <w:name w:val="paragraph"/>
    <w:basedOn w:val="Normal"/>
    <w:rsid w:val="002849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822157303">
      <w:bodyDiv w:val="1"/>
      <w:marLeft w:val="0"/>
      <w:marRight w:val="0"/>
      <w:marTop w:val="0"/>
      <w:marBottom w:val="0"/>
      <w:divBdr>
        <w:top w:val="none" w:sz="0" w:space="0" w:color="auto"/>
        <w:left w:val="none" w:sz="0" w:space="0" w:color="auto"/>
        <w:bottom w:val="none" w:sz="0" w:space="0" w:color="auto"/>
        <w:right w:val="none" w:sz="0" w:space="0" w:color="auto"/>
      </w:divBdr>
    </w:div>
    <w:div w:id="96890031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www.delwp.vic.gov.au/__data/assets/pdf_file/0038/483887/Pupangarli-Marnmarnepu-Owning-Our-Future-Aboriginal-Self-Determination-Reform-Strategy-2020-2025.pdf"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AskAda/Forms/AboriginalityForm.docx"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mailto:customer.service@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self.determination@deeca.vic.gov.au" TargetMode="External"/><Relationship Id="rId30" Type="http://schemas.openxmlformats.org/officeDocument/2006/relationships/hyperlink" Target="https://careers.vic.gov.au/victorian-public-sector/public-sector-values-integrity"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 PreviousValue="tru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91</Value>
      <Value>18</Value>
    </TaxCatchAll>
    <SharedWithUsers xmlns="59d12b91-b74f-4b49-b03f-48db312c8174">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AdaLastReviewedDate xmlns="59d12b91-b74f-4b49-b03f-48db312c8174">2025-03-25T13:00:00+00:00</AdaLastReviewedDate>
    <IconOverlay xmlns="http://schemas.microsoft.com/sharepoint/v4" xsi:nil="true"/>
    <Description xmlns="59d12b91-b74f-4b49-b03f-48db312c8174">Designated Aboriginal position description template</Description>
    <Category xmlns="59d12b91-b74f-4b49-b03f-48db312c8174">
      <Value>Integrity</Value>
      <Value>People</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D1CF454-A966-4FC6-8C2B-67109F50A0A0}">
  <ds:schemaRefs>
    <ds:schemaRef ds:uri="Microsoft.SharePoint.Taxonomy.ContentTypeSync"/>
  </ds:schemaRefs>
</ds:datastoreItem>
</file>

<file path=customXml/itemProps5.xml><?xml version="1.0" encoding="utf-8"?>
<ds:datastoreItem xmlns:ds="http://schemas.openxmlformats.org/officeDocument/2006/customXml" ds:itemID="{41698AB1-F62B-4D88-9F54-06D8DC19FAD5}">
  <ds:schemaRefs>
    <ds:schemaRef ds:uri="http://schemas.microsoft.com/sharepoint/events"/>
  </ds:schemaRefs>
</ds:datastoreItem>
</file>

<file path=customXml/itemProps6.xml><?xml version="1.0" encoding="utf-8"?>
<ds:datastoreItem xmlns:ds="http://schemas.openxmlformats.org/officeDocument/2006/customXml" ds:itemID="{BCFABBF0-0631-4425-8316-AF0A01ACFB0F}">
  <ds:schemaRef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59d12b91-b74f-4b49-b03f-48db312c8174"/>
    <ds:schemaRef ds:uri="http://schemas.microsoft.com/office/infopath/2007/PartnerControls"/>
    <ds:schemaRef ds:uri="http://schemas.microsoft.com/office/2006/documentManagement/types"/>
    <ds:schemaRef ds:uri="http://schemas.microsoft.com/sharepoint/v4"/>
    <ds:schemaRef ds:uri="5f4f3df2-3c6c-4b20-bbe6-23860e366fa2"/>
    <ds:schemaRef ds:uri="9fd47c19-1c4a-4d7d-b342-c10cef269344"/>
  </ds:schemaRefs>
</ds:datastoreItem>
</file>

<file path=customXml/itemProps7.xml><?xml version="1.0" encoding="utf-8"?>
<ds:datastoreItem xmlns:ds="http://schemas.openxmlformats.org/officeDocument/2006/customXml" ds:itemID="{B7B1CF36-B1ED-4F48-B36F-A61ED355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DEECA A4 Blank.dotm</Template>
  <TotalTime>9</TotalTime>
  <Pages>5</Pages>
  <Words>2385</Words>
  <Characters>14871</Characters>
  <Application>Microsoft Office Word</Application>
  <DocSecurity>0</DocSecurity>
  <Lines>246</Lines>
  <Paragraphs>119</Paragraphs>
  <ScaleCrop>false</ScaleCrop>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Aboriginal position description template</dc:title>
  <dc:subject/>
  <dc:creator>Maree Lawson (DEECA)</dc:creator>
  <cp:keywords/>
  <dc:description/>
  <cp:lastModifiedBy>Martin Breheny (DEECA)</cp:lastModifiedBy>
  <cp:revision>5</cp:revision>
  <cp:lastPrinted>2022-06-17T02:14:00Z</cp:lastPrinted>
  <dcterms:created xsi:type="dcterms:W3CDTF">2025-03-26T03:55:00Z</dcterms:created>
  <dcterms:modified xsi:type="dcterms:W3CDTF">2025-11-27T05:28:00Z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ec5f1a87-3092-4025-ace8-cd90c86a1d90</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2023-06-27T10:20:29Z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83122b24-4c7e-41b5-b545-95185d44768d</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Sub-Section">
    <vt:lpwstr/>
  </property>
  <property fmtid="{D5CDD505-2E9C-101B-9397-08002B2CF9AE}" pid="24" name="Agency">
    <vt:lpwstr>1;#Department of Environment, Land, Water and Planning|607a3f87-1228-4cd9-82a5-076aa8776274</vt:lpwstr>
  </property>
  <property fmtid="{D5CDD505-2E9C-101B-9397-08002B2CF9AE}" pid="25" name="Branch">
    <vt:lpwstr>6;#All|8270565e-a836-42c0-aa61-1ac7b0ff14aa</vt:lpwstr>
  </property>
  <property fmtid="{D5CDD505-2E9C-101B-9397-08002B2CF9AE}" pid="26" name="o85941e134754762b9719660a258a6e6">
    <vt:lpwstr/>
  </property>
  <property fmtid="{D5CDD505-2E9C-101B-9397-08002B2CF9AE}" pid="27" name="xTOCTable">
    <vt:lpwstr>H</vt:lpwstr>
  </property>
  <property fmtid="{D5CDD505-2E9C-101B-9397-08002B2CF9AE}" pid="28" name="xHeadingsNumbered">
    <vt:lpwstr>0</vt:lpwstr>
  </property>
  <property fmtid="{D5CDD505-2E9C-101B-9397-08002B2CF9AE}" pid="29" name="Copyright Licence Name">
    <vt:lpwstr/>
  </property>
  <property fmtid="{D5CDD505-2E9C-101B-9397-08002B2CF9AE}" pid="30" name="Resource type">
    <vt:lpwstr/>
  </property>
  <property fmtid="{D5CDD505-2E9C-101B-9397-08002B2CF9AE}" pid="31" name="xSubtitle">
    <vt:lpwstr>Subtitle</vt:lpwstr>
  </property>
  <property fmtid="{D5CDD505-2E9C-101B-9397-08002B2CF9AE}" pid="32" name="xCR">
    <vt:lpwstr>Heading</vt:lpwstr>
  </property>
  <property fmtid="{D5CDD505-2E9C-101B-9397-08002B2CF9AE}" pid="33" name="xDoctype">
    <vt:lpwstr/>
  </property>
  <property fmtid="{D5CDD505-2E9C-101B-9397-08002B2CF9AE}" pid="34" name="df723ab3fe1c4eb7a0b151674e7ac40d">
    <vt:lpwstr/>
  </property>
  <property fmtid="{D5CDD505-2E9C-101B-9397-08002B2CF9AE}" pid="35" name="Division">
    <vt:lpwstr>5;#People and Culture|c4e519e5-2a1a-4634-bbb0-9eb965f1a8c4</vt:lpwstr>
  </property>
  <property fmtid="{D5CDD505-2E9C-101B-9397-08002B2CF9AE}" pid="36" name="xDate">
    <vt:lpwstr/>
  </property>
  <property fmtid="{D5CDD505-2E9C-101B-9397-08002B2CF9AE}" pid="37" name="xTOCApp">
    <vt:lpwstr>H</vt:lpwstr>
  </property>
  <property fmtid="{D5CDD505-2E9C-101B-9397-08002B2CF9AE}" pid="38" name="xTOCH2">
    <vt:lpwstr>Y</vt:lpwstr>
  </property>
  <property fmtid="{D5CDD505-2E9C-101B-9397-08002B2CF9AE}" pid="39" name="AuthorIds_UIVersion_9216">
    <vt:lpwstr>1110</vt:lpwstr>
  </property>
  <property fmtid="{D5CDD505-2E9C-101B-9397-08002B2CF9AE}" pid="40" name="ld508a88e6264ce89693af80a72862cb">
    <vt:lpwstr/>
  </property>
  <property fmtid="{D5CDD505-2E9C-101B-9397-08002B2CF9AE}" pid="41" name="Category">
    <vt:lpwstr/>
  </property>
  <property fmtid="{D5CDD505-2E9C-101B-9397-08002B2CF9AE}" pid="42" name="AdaOwningGroup">
    <vt:lpwstr>18;#People and Culture|4fe8dd26-179b-41a1-8a74-1f09d81ad67a</vt:lpwstr>
  </property>
  <property fmtid="{D5CDD505-2E9C-101B-9397-08002B2CF9AE}" pid="43" name="xTitle">
    <vt:lpwstr>Title</vt:lpwstr>
  </property>
  <property fmtid="{D5CDD505-2E9C-101B-9397-08002B2CF9AE}" pid="44" name="xTOCFigure">
    <vt:lpwstr>H</vt:lpwstr>
  </property>
  <property fmtid="{D5CDD505-2E9C-101B-9397-08002B2CF9AE}" pid="45" name="xTOCH3">
    <vt:lpwstr>Y</vt:lpwstr>
  </property>
  <property fmtid="{D5CDD505-2E9C-101B-9397-08002B2CF9AE}" pid="46" name="xStatus">
    <vt:lpwstr/>
  </property>
  <property fmtid="{D5CDD505-2E9C-101B-9397-08002B2CF9AE}" pid="47" name="Reference Type">
    <vt:lpwstr/>
  </property>
  <property fmtid="{D5CDD505-2E9C-101B-9397-08002B2CF9AE}" pid="48" name="Copyright License Type">
    <vt:lpwstr/>
  </property>
  <property fmtid="{D5CDD505-2E9C-101B-9397-08002B2CF9AE}" pid="49" name="xAppendixName">
    <vt:lpwstr>Appendix</vt:lpwstr>
  </property>
  <property fmtid="{D5CDD505-2E9C-101B-9397-08002B2CF9AE}" pid="50" name="Capability">
    <vt:lpwstr/>
  </property>
  <property fmtid="{D5CDD505-2E9C-101B-9397-08002B2CF9AE}" pid="51" name="xTOCH4">
    <vt:lpwstr>N</vt:lpwstr>
  </property>
  <property fmtid="{D5CDD505-2E9C-101B-9397-08002B2CF9AE}" pid="52" name="Group1">
    <vt:lpwstr>4;#Corporate Services|583021de-5b88-4fc0-9d26-f0e13a42b826</vt:lpwstr>
  </property>
  <property fmtid="{D5CDD505-2E9C-101B-9397-08002B2CF9AE}" pid="53" name="Section">
    <vt:lpwstr>7;#All|8270565e-a836-42c0-aa61-1ac7b0ff14aa</vt:lpwstr>
  </property>
  <property fmtid="{D5CDD505-2E9C-101B-9397-08002B2CF9AE}" pid="54" name="Department_x0020_Document_x0020_Type">
    <vt:lpwstr/>
  </property>
  <property fmtid="{D5CDD505-2E9C-101B-9397-08002B2CF9AE}" pid="55" name="Dissemination_x0020_Limiting_x0020_Marker">
    <vt:lpwstr>2;#FOUO|955eb6fc-b35a-4808-8aa5-31e514fa3f26</vt:lpwstr>
  </property>
  <property fmtid="{D5CDD505-2E9C-101B-9397-08002B2CF9AE}" pid="56" name="Records Class Project">
    <vt:lpwstr>19;#Project Governance|dcc8b15d-be2a-4ec9-8ccc-52ee5f7fec59</vt:lpwstr>
  </property>
  <property fmtid="{D5CDD505-2E9C-101B-9397-08002B2CF9AE}" pid="57" name="Records_x0020_Class_x0020_Project">
    <vt:lpwstr>19;#Project Governance|dcc8b15d-be2a-4ec9-8ccc-52ee5f7fec59</vt:lpwstr>
  </property>
  <property fmtid="{D5CDD505-2E9C-101B-9397-08002B2CF9AE}" pid="58" name="Security_x0020_Classification">
    <vt:lpwstr>3;#Unclassified|7fa379f4-4aba-4692-ab80-7d39d3a23cf4</vt:lpwstr>
  </property>
  <property fmtid="{D5CDD505-2E9C-101B-9397-08002B2CF9AE}" pid="59" name="Records_x0020_Class_x0020_Team_x0020_Admin">
    <vt:lpwstr>43;#Process and procedure|9fed78e4-0cf7-4349-93c6-1d5eeb34ebd6</vt:lpwstr>
  </property>
</Properties>
</file>