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6B395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6112DBF"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Fire Planning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28F290D"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50936147</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1F7839F4"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VPS Grade 3</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7F808" w:rsidR="00495B3B" w:rsidRPr="00495B3B" w:rsidRDefault="007F0E22" w:rsidP="007F0E22">
            <w:pPr>
              <w:spacing w:before="0" w:after="0"/>
              <w:ind w:left="57" w:right="-450"/>
              <w:rPr>
                <w:rFonts w:ascii="Arial" w:hAnsi="Arial" w:cs="Arial"/>
                <w:color w:val="363534"/>
                <w:szCs w:val="22"/>
              </w:rPr>
            </w:pPr>
            <w:r w:rsidRPr="007F0E22">
              <w:rPr>
                <w:rFonts w:ascii="Arial" w:hAnsi="Arial" w:cs="Arial"/>
                <w:color w:val="363534"/>
                <w:szCs w:val="22"/>
              </w:rPr>
              <w:t>$79,122 - $96,073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FDB03C8"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4F8531D1"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Bushfire and Forest Services Group</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9605BEF"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Forest and Fire Operations Division, Forest and Fire Planning Loddon Mallee Region</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3B88C2E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7F0E22">
              <w:rPr>
                <w:rFonts w:ascii="Arial" w:hAnsi="Arial" w:cs="Arial"/>
                <w:color w:val="363534"/>
                <w:szCs w:val="22"/>
              </w:rPr>
              <w:t>Loddon Mallee region</w:t>
            </w:r>
            <w:r w:rsidRPr="00495B3B">
              <w:rPr>
                <w:rFonts w:ascii="Arial" w:hAnsi="Arial" w:cs="Arial"/>
                <w:color w:val="363534"/>
                <w:szCs w:val="22"/>
              </w:rPr>
              <w:t xml:space="preserve"> </w:t>
            </w:r>
          </w:p>
          <w:p w14:paraId="3B7CA3B3" w14:textId="542B234C"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7F0E22">
              <w:rPr>
                <w:rFonts w:ascii="Arial" w:hAnsi="Arial" w:cs="Arial"/>
                <w:color w:val="363534"/>
                <w:szCs w:val="22"/>
              </w:rPr>
              <w:fldChar w:fldCharType="begin">
                <w:ffData>
                  <w:name w:val=""/>
                  <w:enabled/>
                  <w:calcOnExit w:val="0"/>
                  <w:checkBox>
                    <w:size w:val="26"/>
                    <w:default w:val="1"/>
                  </w:checkBox>
                </w:ffData>
              </w:fldChar>
            </w:r>
            <w:r w:rsidR="007F0E22">
              <w:rPr>
                <w:rFonts w:ascii="Arial" w:hAnsi="Arial" w:cs="Arial"/>
                <w:color w:val="363534"/>
                <w:szCs w:val="22"/>
              </w:rPr>
              <w:instrText xml:space="preserve"> FORMCHECKBOX </w:instrText>
            </w:r>
            <w:r w:rsidR="007F0E22">
              <w:rPr>
                <w:rFonts w:ascii="Arial" w:hAnsi="Arial" w:cs="Arial"/>
                <w:color w:val="363534"/>
                <w:szCs w:val="22"/>
              </w:rPr>
            </w:r>
            <w:r w:rsidR="007F0E22">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3616321" w:rsidR="00495B3B" w:rsidRPr="00495B3B" w:rsidRDefault="007F0E22" w:rsidP="00495B3B">
            <w:pPr>
              <w:tabs>
                <w:tab w:val="left" w:pos="469"/>
                <w:tab w:val="left" w:pos="1189"/>
              </w:tabs>
              <w:spacing w:before="0" w:after="0"/>
              <w:ind w:left="57" w:right="-450"/>
              <w:rPr>
                <w:rFonts w:ascii="Arial" w:hAnsi="Arial" w:cs="Arial"/>
                <w:color w:val="363534"/>
                <w:szCs w:val="22"/>
              </w:rPr>
            </w:pPr>
            <w:r w:rsidRPr="007F0E22">
              <w:rPr>
                <w:rFonts w:ascii="Arial" w:hAnsi="Arial" w:cs="Arial"/>
                <w:color w:val="363534"/>
                <w:szCs w:val="22"/>
              </w:rPr>
              <w:t>Senior Fire Planning Officer</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B778BFA"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7F0E22">
              <w:rPr>
                <w:rFonts w:ascii="Arial" w:hAnsi="Arial" w:cs="Arial"/>
                <w:color w:val="363534"/>
                <w:szCs w:val="22"/>
              </w:rPr>
              <w:fldChar w:fldCharType="begin">
                <w:ffData>
                  <w:name w:val=""/>
                  <w:enabled/>
                  <w:calcOnExit w:val="0"/>
                  <w:checkBox>
                    <w:size w:val="26"/>
                    <w:default w:val="1"/>
                  </w:checkBox>
                </w:ffData>
              </w:fldChar>
            </w:r>
            <w:r w:rsidR="007F0E22">
              <w:rPr>
                <w:rFonts w:ascii="Arial" w:hAnsi="Arial" w:cs="Arial"/>
                <w:color w:val="363534"/>
                <w:szCs w:val="22"/>
              </w:rPr>
              <w:instrText xml:space="preserve"> FORMCHECKBOX </w:instrText>
            </w:r>
            <w:r w:rsidR="007F0E22">
              <w:rPr>
                <w:rFonts w:ascii="Arial" w:hAnsi="Arial" w:cs="Arial"/>
                <w:color w:val="363534"/>
                <w:szCs w:val="22"/>
              </w:rPr>
            </w:r>
            <w:r w:rsidR="007F0E22">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D75DCA2" w:rsidR="00495B3B" w:rsidRPr="00495B3B" w:rsidRDefault="007F0E22" w:rsidP="00495B3B">
            <w:pPr>
              <w:spacing w:before="0" w:after="0"/>
              <w:ind w:left="57" w:right="-450"/>
              <w:rPr>
                <w:rFonts w:ascii="Arial" w:hAnsi="Arial" w:cs="Arial"/>
                <w:color w:val="363534"/>
                <w:szCs w:val="22"/>
              </w:rPr>
            </w:pPr>
            <w:r w:rsidRPr="007F0E22">
              <w:rPr>
                <w:rFonts w:ascii="Arial" w:hAnsi="Arial" w:cs="Arial"/>
                <w:color w:val="363534"/>
                <w:szCs w:val="22"/>
              </w:rPr>
              <w:t>Ben Matthews - Manager Operational Forest and Fire Planning</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54814CB" w14:textId="7E10A078" w:rsidR="00372205" w:rsidRPr="00372205" w:rsidRDefault="00372205" w:rsidP="00372205">
      <w:pPr>
        <w:keepNext/>
        <w:spacing w:after="0" w:line="240" w:lineRule="auto"/>
        <w:rPr>
          <w:rFonts w:ascii="Arial" w:hAnsi="Arial" w:cs="Arial"/>
          <w:noProof/>
          <w:color w:val="363534"/>
          <w:szCs w:val="22"/>
          <w:lang w:eastAsia="zh-CN"/>
        </w:rPr>
      </w:pPr>
      <w:r w:rsidRPr="00372205">
        <w:rPr>
          <w:rFonts w:ascii="Arial" w:hAnsi="Arial" w:cs="Arial"/>
          <w:noProof/>
          <w:color w:val="363534"/>
          <w:szCs w:val="22"/>
          <w:lang w:eastAsia="zh-CN"/>
        </w:rPr>
        <w:t>The Fire Planning Officer will support the development of the Joint Fuel Management Program (JFMP), including planned burning, mechanical fuel treatment and Strategic Fuel Breaks (SFB) maintenance activities. The Fire Planning Officer will undertake planning to identify and align fuel management works with strategic intent and direction, including risk reduction outcomes.</w:t>
      </w:r>
    </w:p>
    <w:p w14:paraId="42BA3F06" w14:textId="77777777" w:rsidR="00372205" w:rsidRDefault="00372205" w:rsidP="00372205">
      <w:pPr>
        <w:keepNext/>
        <w:spacing w:after="0" w:line="240" w:lineRule="auto"/>
        <w:rPr>
          <w:rFonts w:ascii="Arial" w:hAnsi="Arial" w:cs="Arial"/>
          <w:noProof/>
          <w:color w:val="363534"/>
          <w:szCs w:val="22"/>
          <w:lang w:eastAsia="zh-CN"/>
        </w:rPr>
      </w:pPr>
      <w:r w:rsidRPr="00372205">
        <w:rPr>
          <w:rFonts w:ascii="Arial" w:hAnsi="Arial" w:cs="Arial"/>
          <w:noProof/>
          <w:color w:val="363534"/>
          <w:szCs w:val="22"/>
          <w:lang w:eastAsia="zh-CN"/>
        </w:rPr>
        <w:t>This role will engage with Districts, Traditional Owners and other stakeholders on the development and design of the JFMP, adapting to reflect local needs and objectives within operational plans, including the inclusion of cultural burning as a key priority for the region.</w:t>
      </w:r>
    </w:p>
    <w:p w14:paraId="1B3F576A" w14:textId="7EBA0E0F" w:rsidR="00495B3B" w:rsidRPr="00495B3B" w:rsidRDefault="00495B3B" w:rsidP="0037220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E7D35F0" w14:textId="77777777" w:rsidR="00372205" w:rsidRPr="00372205" w:rsidRDefault="00372205" w:rsidP="00372205">
      <w:pPr>
        <w:keepNext/>
        <w:spacing w:after="0" w:line="240" w:lineRule="auto"/>
        <w:rPr>
          <w:rFonts w:ascii="Arial" w:hAnsi="Arial" w:cs="Arial"/>
          <w:b/>
          <w:bCs/>
          <w:noProof/>
          <w:color w:val="000000"/>
          <w:lang w:eastAsia="zh-CN"/>
        </w:rPr>
      </w:pPr>
      <w:r w:rsidRPr="00372205">
        <w:rPr>
          <w:rFonts w:ascii="Arial" w:hAnsi="Arial" w:cs="Arial"/>
          <w:b/>
          <w:bCs/>
          <w:noProof/>
          <w:color w:val="000000"/>
          <w:lang w:eastAsia="zh-CN"/>
        </w:rPr>
        <w:t>Group</w:t>
      </w:r>
    </w:p>
    <w:p w14:paraId="5600359C" w14:textId="636D7F33"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12B296C" w14:textId="77777777" w:rsid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BFS employs over 1,900 people in every corner of Victoria, with an additional seasonal workforce that contribute</w:t>
      </w:r>
      <w:r>
        <w:rPr>
          <w:rFonts w:ascii="Arial" w:hAnsi="Arial" w:cs="Arial"/>
          <w:noProof/>
          <w:color w:val="000000"/>
          <w:lang w:eastAsia="zh-CN"/>
        </w:rPr>
        <w:t xml:space="preserve"> </w:t>
      </w:r>
      <w:r w:rsidRPr="00372205">
        <w:rPr>
          <w:rFonts w:ascii="Arial" w:hAnsi="Arial" w:cs="Arial"/>
          <w:noProof/>
          <w:color w:val="000000"/>
          <w:lang w:eastAsia="zh-CN"/>
        </w:rPr>
        <w:t>to Victoria’s bushfire response capability. We create local jobs, employing people from the communities we serve.</w:t>
      </w:r>
    </w:p>
    <w:p w14:paraId="3F3D46D4" w14:textId="492D10AC" w:rsidR="00372205" w:rsidRDefault="00372205">
      <w:pPr>
        <w:rPr>
          <w:rFonts w:ascii="Arial" w:hAnsi="Arial" w:cs="Arial"/>
          <w:noProof/>
          <w:color w:val="000000"/>
          <w:lang w:eastAsia="zh-CN"/>
        </w:rPr>
      </w:pPr>
      <w:r w:rsidRPr="00372205">
        <w:rPr>
          <w:rFonts w:ascii="Arial" w:hAnsi="Arial" w:cs="Arial"/>
          <w:noProof/>
          <w:color w:val="000000"/>
          <w:lang w:eastAsia="zh-CN"/>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0DCC1B80" w14:textId="3BEAF171"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b/>
          <w:bCs/>
          <w:noProof/>
          <w:color w:val="000000"/>
          <w:lang w:eastAsia="zh-CN"/>
        </w:rPr>
        <w:lastRenderedPageBreak/>
        <w:t>Division</w:t>
      </w:r>
    </w:p>
    <w:p w14:paraId="2D974E71" w14:textId="3F49165E"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0FDCC77E" w14:textId="71EBF9F9"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10475C11" w14:textId="04E1BFE5"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We are the lead emergency management agency for bushfire and a support agency for a range of Class 2 emergencies.</w:t>
      </w:r>
    </w:p>
    <w:p w14:paraId="4D563ED7" w14:textId="638B602C" w:rsidR="00372205" w:rsidRPr="00372205" w:rsidRDefault="00372205" w:rsidP="00372205">
      <w:pPr>
        <w:keepNext/>
        <w:spacing w:after="0" w:line="240" w:lineRule="auto"/>
        <w:rPr>
          <w:rFonts w:ascii="Arial" w:hAnsi="Arial" w:cs="Arial"/>
          <w:b/>
          <w:bCs/>
          <w:noProof/>
          <w:color w:val="000000"/>
          <w:lang w:eastAsia="zh-CN"/>
        </w:rPr>
      </w:pPr>
      <w:r w:rsidRPr="00372205">
        <w:rPr>
          <w:rFonts w:ascii="Arial" w:hAnsi="Arial" w:cs="Arial"/>
          <w:b/>
          <w:bCs/>
          <w:noProof/>
          <w:color w:val="000000"/>
          <w:lang w:eastAsia="zh-CN"/>
        </w:rPr>
        <w:t>Branch</w:t>
      </w:r>
    </w:p>
    <w:p w14:paraId="00B5A057" w14:textId="77777777"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In order to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w:t>
      </w:r>
    </w:p>
    <w:p w14:paraId="52D4E21A" w14:textId="77777777" w:rsidR="00372205" w:rsidRP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540DBECF" w14:textId="77777777" w:rsidR="00372205" w:rsidRDefault="00372205" w:rsidP="00372205">
      <w:pPr>
        <w:keepNext/>
        <w:spacing w:after="0" w:line="240" w:lineRule="auto"/>
        <w:rPr>
          <w:rFonts w:ascii="Arial" w:hAnsi="Arial" w:cs="Arial"/>
          <w:noProof/>
          <w:color w:val="000000"/>
          <w:lang w:eastAsia="zh-CN"/>
        </w:rPr>
      </w:pPr>
      <w:r w:rsidRPr="00372205">
        <w:rPr>
          <w:rFonts w:ascii="Arial" w:hAnsi="Arial" w:cs="Arial"/>
          <w:noProof/>
          <w:color w:val="000000"/>
          <w:lang w:eastAsia="zh-CN"/>
        </w:rPr>
        <w:t>The Forest &amp; Fire Planning Team will also lead the development of local strategic plans, under the guidance and direction of FFOD State and in line with the strategic frameworks developed by the Policy &amp; Planning Division. This will include development and updating of the Forest Management Plans/Strategies, Bushfire Management Strategies and associated sub-strategies.</w:t>
      </w:r>
    </w:p>
    <w:p w14:paraId="47A5774F" w14:textId="3E476580" w:rsidR="00495B3B" w:rsidRPr="00495B3B" w:rsidRDefault="00495B3B" w:rsidP="0037220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8A8CC6B"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Undertake planning to deliver the annual Joint Fuel Management Plan, within required timeframes and in line with planning directives.</w:t>
      </w:r>
    </w:p>
    <w:p w14:paraId="7EB7303C"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Ensure the preparation of high-quality documents with a high degree of attention to detail, which can include project plans, tender briefs, contracts, ministerial briefings and other correspondence.</w:t>
      </w:r>
    </w:p>
    <w:p w14:paraId="54C2684E"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Liaise with DEECA statewide program teams, value assessment teams and specialist consultants to enable the delivery of priority programs and projects to ensure legislative adherence and acquittal.</w:t>
      </w:r>
    </w:p>
    <w:p w14:paraId="41285193"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Engage with Traditional Owner groups as required to enable their self-determination in their involvement in the planning of projects on public land, especially those with Aboriginal heritage values.</w:t>
      </w:r>
    </w:p>
    <w:p w14:paraId="42CE5B0E"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Address complex and high-risk planning issues to identify and implement complex solutions to ensure satisfactory outcomes, including through accessing Cultural Heritage Permits and Management Plans.</w:t>
      </w:r>
    </w:p>
    <w:p w14:paraId="0187FC16" w14:textId="77777777" w:rsidR="00372205" w:rsidRPr="00372205" w:rsidRDefault="00372205" w:rsidP="00372205">
      <w:pPr>
        <w:pStyle w:val="ListParagraph"/>
        <w:numPr>
          <w:ilvl w:val="0"/>
          <w:numId w:val="46"/>
        </w:numPr>
        <w:spacing w:before="60" w:after="0" w:line="240" w:lineRule="auto"/>
        <w:ind w:left="714" w:hanging="357"/>
        <w:contextualSpacing w:val="0"/>
        <w:rPr>
          <w:rFonts w:ascii="Arial" w:hAnsi="Arial" w:cs="Arial"/>
          <w:color w:val="000000"/>
          <w:szCs w:val="22"/>
          <w:lang w:eastAsia="zh-CN"/>
        </w:rPr>
      </w:pPr>
      <w:r w:rsidRPr="00372205">
        <w:rPr>
          <w:rFonts w:ascii="Arial" w:hAnsi="Arial" w:cs="Arial"/>
          <w:color w:val="000000"/>
          <w:szCs w:val="22"/>
          <w:lang w:eastAsia="zh-CN"/>
        </w:rPr>
        <w:t>Provide timely and accurate advice to the Deputy Chief Fire Officer on the planning of priority programs and projects across the Region.</w:t>
      </w:r>
    </w:p>
    <w:p w14:paraId="1AEE2617" w14:textId="58DE7CDB" w:rsidR="00495B3B" w:rsidRPr="00372205" w:rsidRDefault="00372205" w:rsidP="00372205">
      <w:pPr>
        <w:pStyle w:val="ListParagraph"/>
        <w:numPr>
          <w:ilvl w:val="0"/>
          <w:numId w:val="46"/>
        </w:numPr>
        <w:spacing w:before="60" w:after="0" w:line="240" w:lineRule="auto"/>
        <w:ind w:left="714" w:hanging="357"/>
        <w:contextualSpacing w:val="0"/>
        <w:rPr>
          <w:rFonts w:ascii="Arial" w:hAnsi="Arial" w:cs="Arial"/>
          <w:lang w:eastAsia="zh-CN"/>
        </w:rPr>
      </w:pPr>
      <w:r w:rsidRPr="00372205">
        <w:rPr>
          <w:rFonts w:ascii="Arial" w:hAnsi="Arial" w:cs="Arial"/>
          <w:color w:val="000000"/>
          <w:szCs w:val="22"/>
          <w:lang w:eastAsia="zh-CN"/>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51D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34C035B" w14:textId="77777777" w:rsidR="00372205" w:rsidRDefault="00372205" w:rsidP="00372205">
      <w:pPr>
        <w:pStyle w:val="ListParagraph"/>
        <w:numPr>
          <w:ilvl w:val="0"/>
          <w:numId w:val="45"/>
        </w:numPr>
        <w:spacing w:before="60" w:after="0" w:line="240" w:lineRule="auto"/>
        <w:ind w:left="714" w:hanging="357"/>
        <w:contextualSpacing w:val="0"/>
        <w:rPr>
          <w:rFonts w:ascii="Arial" w:hAnsi="Arial" w:cs="Arial"/>
          <w:color w:val="000000"/>
          <w:lang w:eastAsia="zh-CN"/>
        </w:rPr>
      </w:pPr>
      <w:r w:rsidRPr="00372205">
        <w:rPr>
          <w:rFonts w:ascii="Arial" w:hAnsi="Arial" w:cs="Arial"/>
          <w:color w:val="000000"/>
          <w:lang w:eastAsia="zh-CN"/>
        </w:rPr>
        <w:t>Proven experience in applying planning processes for programs and/or projects (on public land, desirable)</w:t>
      </w:r>
    </w:p>
    <w:p w14:paraId="1E0DF32B" w14:textId="6FD80738" w:rsidR="00372205" w:rsidRPr="00372205" w:rsidRDefault="00372205" w:rsidP="00372205">
      <w:pPr>
        <w:pStyle w:val="ListParagraph"/>
        <w:numPr>
          <w:ilvl w:val="0"/>
          <w:numId w:val="45"/>
        </w:numPr>
        <w:spacing w:before="60" w:after="0" w:line="240" w:lineRule="auto"/>
        <w:contextualSpacing w:val="0"/>
        <w:rPr>
          <w:rFonts w:ascii="Arial" w:hAnsi="Arial" w:cs="Arial"/>
          <w:color w:val="000000"/>
          <w:lang w:eastAsia="zh-CN"/>
        </w:rPr>
      </w:pPr>
      <w:r w:rsidRPr="00372205">
        <w:rPr>
          <w:rFonts w:ascii="Arial" w:hAnsi="Arial" w:cs="Arial"/>
          <w:color w:val="000000"/>
          <w:lang w:eastAsia="zh-CN"/>
        </w:rPr>
        <w:t>Capability and understanding of programs such as Jira and Arc GIS is desirable.</w:t>
      </w:r>
    </w:p>
    <w:p w14:paraId="62DD3F46" w14:textId="1B54C4C8"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48C3D00" w14:textId="77777777" w:rsidR="00372205" w:rsidRPr="00372205" w:rsidRDefault="00372205" w:rsidP="00372205">
      <w:pPr>
        <w:numPr>
          <w:ilvl w:val="0"/>
          <w:numId w:val="43"/>
        </w:numPr>
        <w:spacing w:before="60" w:after="0" w:line="240" w:lineRule="auto"/>
        <w:ind w:left="714" w:hanging="357"/>
        <w:rPr>
          <w:rFonts w:ascii="Arial" w:hAnsi="Arial" w:cs="Arial"/>
          <w:color w:val="000000"/>
          <w:lang w:eastAsia="zh-CN"/>
        </w:rPr>
      </w:pPr>
      <w:r w:rsidRPr="00372205">
        <w:rPr>
          <w:rFonts w:ascii="Arial" w:hAnsi="Arial" w:cs="Arial"/>
          <w:b/>
          <w:bCs/>
          <w:color w:val="000000"/>
          <w:lang w:eastAsia="zh-CN"/>
        </w:rPr>
        <w:t>Critical Thinking &amp; Problem Solving:</w:t>
      </w:r>
      <w:r w:rsidRPr="00372205">
        <w:rPr>
          <w:rFonts w:ascii="Arial" w:hAnsi="Arial" w:cs="Arial"/>
          <w:color w:val="000000"/>
          <w:lang w:eastAsia="zh-CN"/>
        </w:rPr>
        <w:t xml:space="preserve"> Seeks resolution of problems through policy or process guidelines; Otherwise seeks guidance by providing information and ideas relevant towards resolution of problem; Understands concepts enabling improvements in critical thinking and problem solving.</w:t>
      </w:r>
    </w:p>
    <w:p w14:paraId="630CF846" w14:textId="77777777" w:rsidR="00372205" w:rsidRPr="00372205" w:rsidRDefault="00372205" w:rsidP="00372205">
      <w:pPr>
        <w:numPr>
          <w:ilvl w:val="0"/>
          <w:numId w:val="43"/>
        </w:numPr>
        <w:spacing w:before="60" w:after="0" w:line="240" w:lineRule="auto"/>
        <w:ind w:left="714" w:hanging="357"/>
        <w:rPr>
          <w:rFonts w:ascii="Arial" w:hAnsi="Arial" w:cs="Arial"/>
          <w:color w:val="000000"/>
          <w:lang w:eastAsia="zh-CN"/>
        </w:rPr>
      </w:pPr>
      <w:r w:rsidRPr="00372205">
        <w:rPr>
          <w:rFonts w:ascii="Arial" w:hAnsi="Arial" w:cs="Arial"/>
          <w:b/>
          <w:bCs/>
          <w:color w:val="000000"/>
          <w:lang w:eastAsia="zh-CN"/>
        </w:rPr>
        <w:t>Flexibility &amp; Adaptability:</w:t>
      </w:r>
      <w:r w:rsidRPr="00372205">
        <w:rPr>
          <w:rFonts w:ascii="Arial" w:hAnsi="Arial" w:cs="Arial"/>
          <w:color w:val="000000"/>
          <w:lang w:eastAsia="zh-CN"/>
        </w:rPr>
        <w:t xml:space="preserve"> Accept changed priorities without undue discomfort; Responds quickly to changes: Comfortable working in collaboration with teams outside of own organisation.</w:t>
      </w:r>
    </w:p>
    <w:p w14:paraId="039D7604" w14:textId="77777777" w:rsidR="00372205" w:rsidRPr="00372205" w:rsidRDefault="00372205" w:rsidP="00372205">
      <w:pPr>
        <w:numPr>
          <w:ilvl w:val="0"/>
          <w:numId w:val="43"/>
        </w:numPr>
        <w:spacing w:before="60" w:after="0" w:line="240" w:lineRule="auto"/>
        <w:ind w:left="714" w:hanging="357"/>
        <w:rPr>
          <w:rFonts w:ascii="Arial" w:hAnsi="Arial" w:cs="Arial"/>
          <w:color w:val="000000"/>
          <w:lang w:eastAsia="zh-CN"/>
        </w:rPr>
      </w:pPr>
      <w:r w:rsidRPr="00372205">
        <w:rPr>
          <w:rFonts w:ascii="Arial" w:hAnsi="Arial" w:cs="Arial"/>
          <w:b/>
          <w:bCs/>
          <w:color w:val="000000"/>
          <w:lang w:eastAsia="zh-CN"/>
        </w:rPr>
        <w:lastRenderedPageBreak/>
        <w:t>Project Delivery:</w:t>
      </w:r>
      <w:r w:rsidRPr="00372205">
        <w:rPr>
          <w:rFonts w:ascii="Arial" w:hAnsi="Arial" w:cs="Arial"/>
          <w:color w:val="000000"/>
          <w:lang w:eastAsia="zh-CN"/>
        </w:rPr>
        <w:t xml:space="preserve"> Executes work tasks against plan; where plans are not defined, prioritises tasks in line with the urgency and impact of tasks; Utilises approved task management tools; Maintains accurate project records</w:t>
      </w:r>
    </w:p>
    <w:p w14:paraId="61CC39B4" w14:textId="1F3D6366" w:rsidR="00495B3B" w:rsidRPr="00451DA1" w:rsidRDefault="00372205" w:rsidP="00451DA1">
      <w:pPr>
        <w:numPr>
          <w:ilvl w:val="0"/>
          <w:numId w:val="43"/>
        </w:numPr>
        <w:spacing w:before="60" w:after="0" w:line="240" w:lineRule="auto"/>
        <w:ind w:left="714" w:hanging="357"/>
        <w:rPr>
          <w:rFonts w:ascii="Arial" w:hAnsi="Arial" w:cs="Arial"/>
          <w:color w:val="000000"/>
          <w:lang w:eastAsia="zh-CN"/>
        </w:rPr>
      </w:pPr>
      <w:r w:rsidRPr="00372205">
        <w:rPr>
          <w:rFonts w:ascii="Arial" w:hAnsi="Arial" w:cs="Arial"/>
          <w:b/>
          <w:bCs/>
          <w:color w:val="000000"/>
          <w:lang w:eastAsia="zh-CN"/>
        </w:rPr>
        <w:t>Influence and Persuasion:</w:t>
      </w:r>
      <w:r w:rsidRPr="00372205">
        <w:rPr>
          <w:rFonts w:ascii="Arial" w:hAnsi="Arial" w:cs="Arial"/>
          <w:color w:val="000000"/>
          <w:lang w:eastAsia="zh-CN"/>
        </w:rPr>
        <w:t xml:space="preserve"> Consistently adapts the content, style, message or tone of a presentation to</w:t>
      </w:r>
      <w:r w:rsidRPr="00372205">
        <w:rPr>
          <w:rFonts w:ascii="Arial" w:hAnsi="Arial" w:cs="Arial"/>
          <w:color w:val="000000"/>
          <w:lang w:eastAsia="zh-CN"/>
        </w:rPr>
        <w:t xml:space="preserve"> </w:t>
      </w:r>
      <w:r w:rsidRPr="00372205">
        <w:rPr>
          <w:rFonts w:ascii="Arial" w:hAnsi="Arial" w:cs="Arial"/>
          <w:color w:val="000000"/>
          <w:lang w:eastAsia="zh-CN"/>
        </w:rPr>
        <w:t>suit the audience and plans how to tackle objections; Applies own ideas by linking them to others’ values,</w:t>
      </w:r>
      <w:r>
        <w:rPr>
          <w:rFonts w:ascii="Arial" w:hAnsi="Arial" w:cs="Arial"/>
          <w:color w:val="000000"/>
          <w:lang w:eastAsia="zh-CN"/>
        </w:rPr>
        <w:t xml:space="preserve"> </w:t>
      </w:r>
      <w:r w:rsidRPr="00372205">
        <w:rPr>
          <w:rFonts w:ascii="Arial" w:hAnsi="Arial" w:cs="Arial"/>
          <w:color w:val="000000"/>
          <w:lang w:eastAsia="zh-CN"/>
        </w:rPr>
        <w:t>needs &amp; goals.</w:t>
      </w:r>
      <w:bookmarkStart w:id="2" w:name="_Hlk102550785"/>
    </w:p>
    <w:p w14:paraId="72CE8D2C" w14:textId="77777777" w:rsidR="00495B3B" w:rsidRPr="00495B3B" w:rsidRDefault="00495B3B" w:rsidP="00451D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7E15110"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37220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D1961FE" w:rsidR="00495B3B" w:rsidRPr="00372205" w:rsidRDefault="00495B3B" w:rsidP="00372205">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304C605B" w:rsidR="00495B3B" w:rsidRPr="00495B3B" w:rsidRDefault="00495B3B" w:rsidP="0037220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51DA1">
      <w:pPr>
        <w:keepNext/>
        <w:spacing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6CC1B49B" w:rsidR="00495B3B" w:rsidRPr="007246B5" w:rsidRDefault="00C8238F" w:rsidP="007246B5">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7246B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5C85" w14:textId="77777777" w:rsidR="00A01582" w:rsidRDefault="00A01582" w:rsidP="00CD157B">
      <w:pPr>
        <w:pStyle w:val="NoSpacing"/>
      </w:pPr>
    </w:p>
    <w:p w14:paraId="6F162C83" w14:textId="77777777" w:rsidR="00A01582" w:rsidRDefault="00A01582"/>
  </w:endnote>
  <w:endnote w:type="continuationSeparator" w:id="0">
    <w:p w14:paraId="348ED76F" w14:textId="77777777" w:rsidR="00A01582" w:rsidRDefault="00A01582" w:rsidP="00CD157B">
      <w:pPr>
        <w:pStyle w:val="NoSpacing"/>
      </w:pPr>
    </w:p>
    <w:p w14:paraId="66EB8BB2" w14:textId="77777777" w:rsidR="00A01582" w:rsidRDefault="00A01582"/>
  </w:endnote>
  <w:endnote w:type="continuationNotice" w:id="1">
    <w:p w14:paraId="45A8F594" w14:textId="77777777" w:rsidR="00A01582" w:rsidRDefault="00A01582" w:rsidP="00CD157B">
      <w:pPr>
        <w:pStyle w:val="NoSpacing"/>
      </w:pPr>
    </w:p>
    <w:p w14:paraId="7DE21065" w14:textId="77777777" w:rsidR="00A01582" w:rsidRDefault="00A01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513D" w14:textId="77777777" w:rsidR="00A01582" w:rsidRPr="0056073C" w:rsidRDefault="00A01582" w:rsidP="005D764F">
      <w:pPr>
        <w:pStyle w:val="FootnoteSeparator"/>
      </w:pPr>
    </w:p>
    <w:p w14:paraId="26D57C02" w14:textId="77777777" w:rsidR="00A01582" w:rsidRDefault="00A01582"/>
  </w:footnote>
  <w:footnote w:type="continuationSeparator" w:id="0">
    <w:p w14:paraId="00D4750F" w14:textId="77777777" w:rsidR="00A01582" w:rsidRPr="00CA30B7" w:rsidRDefault="00A01582" w:rsidP="006D5A90">
      <w:pPr>
        <w:rPr>
          <w:lang w:val="en-US"/>
        </w:rPr>
      </w:pPr>
      <w:r w:rsidRPr="00CA30B7">
        <w:rPr>
          <w:lang w:val="en-US"/>
        </w:rPr>
        <w:t>_______</w:t>
      </w:r>
    </w:p>
    <w:p w14:paraId="719B70A0" w14:textId="77777777" w:rsidR="00A01582" w:rsidRDefault="00A01582"/>
  </w:footnote>
  <w:footnote w:type="continuationNotice" w:id="1">
    <w:p w14:paraId="7831634D" w14:textId="77777777" w:rsidR="00A01582" w:rsidRDefault="00A01582" w:rsidP="006D5A90"/>
    <w:p w14:paraId="19BB8A78" w14:textId="77777777" w:rsidR="00A01582" w:rsidRDefault="00A01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807FA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D258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3EE2D7"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BAE0B3"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484204"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0EFF1A"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1E657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0856E"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E75D9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F59B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FA1A5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2E1D6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677C56"/>
    <w:multiLevelType w:val="hybridMultilevel"/>
    <w:tmpl w:val="7A42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E85610F"/>
    <w:multiLevelType w:val="hybridMultilevel"/>
    <w:tmpl w:val="B0788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4"/>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1749501352">
    <w:abstractNumId w:val="3"/>
  </w:num>
  <w:num w:numId="46" w16cid:durableId="47587844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5A2"/>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839"/>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205"/>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1DA1"/>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2D2"/>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6B5"/>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0E22"/>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582"/>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0B"/>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16"/>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4D2"/>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 PreviousValue="tru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7.xml><?xml version="1.0" encoding="utf-8"?>
<ds:datastoreItem xmlns:ds="http://schemas.openxmlformats.org/officeDocument/2006/customXml" ds:itemID="{78D3A74A-7CD1-4409-B34D-2C887A98C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1752</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6</cp:revision>
  <cp:lastPrinted>2022-06-17T02:14:00Z</cp:lastPrinted>
  <dcterms:created xsi:type="dcterms:W3CDTF">2025-03-26T03:59:00Z</dcterms:created>
  <dcterms:modified xsi:type="dcterms:W3CDTF">2025-09-03T02:35:00Z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