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59485EC"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71c5e8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78be20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419AA31">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111CCB65" w:rsidR="00495B3B" w:rsidRPr="00495B3B" w:rsidRDefault="00CF5A5C" w:rsidP="00495B3B">
            <w:pPr>
              <w:spacing w:before="0" w:after="0"/>
              <w:ind w:left="57" w:right="-450"/>
              <w:rPr>
                <w:rFonts w:ascii="Arial" w:hAnsi="Arial" w:cs="Arial"/>
                <w:color w:val="363534"/>
                <w:szCs w:val="22"/>
              </w:rPr>
            </w:pPr>
            <w:r>
              <w:rPr>
                <w:rFonts w:ascii="Arial" w:hAnsi="Arial" w:cs="Arial"/>
                <w:color w:val="363534"/>
                <w:szCs w:val="22"/>
              </w:rPr>
              <w:t xml:space="preserve">Senior Project Officer </w:t>
            </w:r>
            <w:r w:rsidR="00817D25">
              <w:rPr>
                <w:rFonts w:ascii="Arial" w:hAnsi="Arial" w:cs="Arial"/>
                <w:color w:val="363534"/>
                <w:szCs w:val="22"/>
              </w:rPr>
              <w:t xml:space="preserve">– </w:t>
            </w:r>
            <w:r>
              <w:rPr>
                <w:rFonts w:ascii="Arial" w:hAnsi="Arial" w:cs="Arial"/>
                <w:color w:val="363534"/>
                <w:szCs w:val="22"/>
              </w:rPr>
              <w:t>Constraints</w:t>
            </w:r>
          </w:p>
        </w:tc>
      </w:tr>
      <w:tr w:rsidR="00495B3B" w:rsidRPr="00495B3B" w14:paraId="5F8F815C" w14:textId="77777777" w:rsidTr="7419AA31">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34EAB175" w:rsidR="00495B3B" w:rsidRPr="00495B3B" w:rsidRDefault="00CF5A5C" w:rsidP="00495B3B">
            <w:pPr>
              <w:spacing w:before="0" w:after="0"/>
              <w:ind w:left="57" w:right="-450"/>
              <w:rPr>
                <w:rFonts w:ascii="Arial" w:hAnsi="Arial" w:cs="Arial"/>
                <w:color w:val="363534"/>
                <w:szCs w:val="22"/>
              </w:rPr>
            </w:pPr>
            <w:r>
              <w:rPr>
                <w:rFonts w:ascii="Arial" w:hAnsi="Arial" w:cs="Arial"/>
                <w:color w:val="363534"/>
                <w:szCs w:val="22"/>
              </w:rPr>
              <w:t>50927840</w:t>
            </w:r>
          </w:p>
        </w:tc>
      </w:tr>
      <w:tr w:rsidR="00495B3B" w:rsidRPr="00495B3B" w14:paraId="6052E497" w14:textId="77777777" w:rsidTr="7419AA31">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ABA3B8A" w:rsidR="00495B3B" w:rsidRPr="00495B3B" w:rsidRDefault="00CF5A5C" w:rsidP="00495B3B">
            <w:pPr>
              <w:spacing w:before="0" w:after="0"/>
              <w:ind w:left="57" w:right="-450"/>
              <w:rPr>
                <w:rFonts w:ascii="Arial" w:hAnsi="Arial" w:cs="Arial"/>
                <w:color w:val="363534"/>
                <w:szCs w:val="22"/>
              </w:rPr>
            </w:pPr>
            <w:r>
              <w:rPr>
                <w:rFonts w:ascii="Arial" w:hAnsi="Arial" w:cs="Arial"/>
                <w:color w:val="363534"/>
                <w:szCs w:val="22"/>
              </w:rPr>
              <w:t xml:space="preserve">VPS 5 </w:t>
            </w:r>
          </w:p>
        </w:tc>
      </w:tr>
      <w:tr w:rsidR="00495B3B" w:rsidRPr="00495B3B" w14:paraId="513E600D" w14:textId="77777777" w:rsidTr="7419AA31">
        <w:trPr>
          <w:trHeight w:val="399"/>
        </w:trPr>
        <w:tc>
          <w:tcPr>
            <w:tcW w:w="2580" w:type="dxa"/>
            <w:tcBorders>
              <w:top w:val="nil"/>
              <w:bottom w:val="nil"/>
              <w:right w:val="nil"/>
            </w:tcBorders>
            <w:vAlign w:val="center"/>
          </w:tcPr>
          <w:p w14:paraId="67184DB8" w14:textId="77777777" w:rsidR="00495B3B" w:rsidRPr="006F0022" w:rsidRDefault="00495B3B" w:rsidP="00495B3B">
            <w:pPr>
              <w:spacing w:before="0" w:after="0"/>
              <w:ind w:right="-450"/>
              <w:rPr>
                <w:rFonts w:ascii="Arial" w:hAnsi="Arial" w:cs="Arial"/>
                <w:b/>
                <w:color w:val="363534"/>
                <w:szCs w:val="22"/>
              </w:rPr>
            </w:pPr>
            <w:r w:rsidRPr="006F0022">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D268A23" w:rsidR="00495B3B" w:rsidRPr="006F0022" w:rsidRDefault="00680533" w:rsidP="00495B3B">
            <w:pPr>
              <w:spacing w:before="0" w:after="0"/>
              <w:ind w:left="57" w:right="-450"/>
              <w:rPr>
                <w:rFonts w:ascii="Arial" w:hAnsi="Arial" w:cs="Arial"/>
                <w:color w:val="363534"/>
                <w:szCs w:val="22"/>
              </w:rPr>
            </w:pPr>
            <w:r w:rsidRPr="006F0022">
              <w:rPr>
                <w:rFonts w:ascii="Arial" w:hAnsi="Arial" w:cs="Arial"/>
                <w:color w:val="363534"/>
                <w:szCs w:val="22"/>
              </w:rPr>
              <w:t>$116,413 - $</w:t>
            </w:r>
            <w:r w:rsidR="00070034">
              <w:rPr>
                <w:rFonts w:ascii="Arial" w:hAnsi="Arial" w:cs="Arial"/>
                <w:color w:val="363534"/>
                <w:szCs w:val="22"/>
              </w:rPr>
              <w:t>140,849</w:t>
            </w:r>
            <w:r w:rsidR="00CE18AC">
              <w:rPr>
                <w:rFonts w:ascii="Arial" w:hAnsi="Arial" w:cs="Arial"/>
                <w:color w:val="363534"/>
                <w:szCs w:val="22"/>
              </w:rPr>
              <w:t xml:space="preserve"> </w:t>
            </w:r>
            <w:r w:rsidR="00D35955" w:rsidRPr="006F0022">
              <w:rPr>
                <w:rFonts w:ascii="Arial" w:hAnsi="Arial" w:cs="Arial"/>
                <w:color w:val="363534"/>
                <w:szCs w:val="22"/>
              </w:rPr>
              <w:t>plus superannuation</w:t>
            </w:r>
          </w:p>
        </w:tc>
      </w:tr>
      <w:tr w:rsidR="00495B3B" w:rsidRPr="00495B3B" w14:paraId="2A722203" w14:textId="77777777" w:rsidTr="7419AA31">
        <w:trPr>
          <w:trHeight w:val="399"/>
        </w:trPr>
        <w:tc>
          <w:tcPr>
            <w:tcW w:w="2580" w:type="dxa"/>
            <w:tcBorders>
              <w:top w:val="nil"/>
              <w:bottom w:val="nil"/>
              <w:right w:val="nil"/>
            </w:tcBorders>
            <w:vAlign w:val="center"/>
          </w:tcPr>
          <w:p w14:paraId="60F7C270" w14:textId="77777777" w:rsidR="00495B3B" w:rsidRPr="00BE0B97" w:rsidRDefault="00495B3B" w:rsidP="00495B3B">
            <w:pPr>
              <w:spacing w:before="0" w:after="0"/>
              <w:ind w:right="-450"/>
              <w:rPr>
                <w:rFonts w:ascii="Arial" w:hAnsi="Arial" w:cs="Arial"/>
                <w:b/>
                <w:color w:val="363534"/>
                <w:szCs w:val="22"/>
              </w:rPr>
            </w:pPr>
            <w:r w:rsidRPr="00BE0B97">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56057D16" w:rsidR="00495B3B" w:rsidRPr="00BE0B97" w:rsidRDefault="009D149A" w:rsidP="00495B3B">
            <w:pPr>
              <w:tabs>
                <w:tab w:val="left" w:pos="3529"/>
              </w:tabs>
              <w:spacing w:before="0" w:after="0"/>
              <w:ind w:left="57" w:right="-450"/>
              <w:rPr>
                <w:rFonts w:ascii="Arial" w:hAnsi="Arial" w:cs="Arial"/>
                <w:color w:val="363534"/>
              </w:rPr>
            </w:pPr>
            <w:r w:rsidRPr="7C3C715F">
              <w:rPr>
                <w:rFonts w:ascii="Arial" w:hAnsi="Arial" w:cs="Arial"/>
                <w:color w:val="363534"/>
              </w:rPr>
              <w:t xml:space="preserve">Fixed term until </w:t>
            </w:r>
            <w:r w:rsidR="3355F529" w:rsidRPr="34273D4B">
              <w:rPr>
                <w:rFonts w:ascii="Arial" w:hAnsi="Arial" w:cs="Arial"/>
                <w:color w:val="363534"/>
              </w:rPr>
              <w:t>29</w:t>
            </w:r>
            <w:r w:rsidRPr="7C3C715F">
              <w:rPr>
                <w:rFonts w:ascii="Arial" w:hAnsi="Arial" w:cs="Arial"/>
                <w:color w:val="363534"/>
              </w:rPr>
              <w:t xml:space="preserve"> October 202</w:t>
            </w:r>
            <w:r w:rsidR="4AF17CAE" w:rsidRPr="7C3C715F">
              <w:rPr>
                <w:rFonts w:ascii="Arial" w:hAnsi="Arial" w:cs="Arial"/>
                <w:color w:val="363534"/>
              </w:rPr>
              <w:t>7</w:t>
            </w:r>
          </w:p>
        </w:tc>
      </w:tr>
      <w:tr w:rsidR="00495B3B" w:rsidRPr="00495B3B" w14:paraId="73E4C712" w14:textId="77777777" w:rsidTr="7419AA31">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185DA7" w:rsidR="00495B3B" w:rsidRPr="00495B3B" w:rsidRDefault="00081F37" w:rsidP="00495B3B">
            <w:pPr>
              <w:spacing w:before="0" w:after="0"/>
              <w:ind w:left="57" w:right="-450"/>
              <w:rPr>
                <w:rFonts w:ascii="Arial" w:hAnsi="Arial" w:cs="Arial"/>
                <w:color w:val="363534"/>
                <w:szCs w:val="22"/>
              </w:rPr>
            </w:pPr>
            <w:r>
              <w:rPr>
                <w:rFonts w:ascii="Arial" w:hAnsi="Arial" w:cs="Arial"/>
                <w:color w:val="363534"/>
                <w:szCs w:val="22"/>
              </w:rPr>
              <w:t>Water and Catchments Group</w:t>
            </w:r>
          </w:p>
        </w:tc>
      </w:tr>
      <w:tr w:rsidR="00495B3B" w:rsidRPr="00495B3B" w14:paraId="1EBFF7E6" w14:textId="77777777" w:rsidTr="7419AA31">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9265343" w:rsidR="00495B3B" w:rsidRPr="00495B3B" w:rsidRDefault="00C70867" w:rsidP="00495B3B">
            <w:pPr>
              <w:spacing w:before="0" w:after="0"/>
              <w:ind w:left="57" w:right="-450"/>
              <w:rPr>
                <w:rFonts w:ascii="Arial" w:hAnsi="Arial" w:cs="Arial"/>
                <w:color w:val="363534"/>
                <w:szCs w:val="22"/>
              </w:rPr>
            </w:pPr>
            <w:r>
              <w:rPr>
                <w:rFonts w:ascii="Arial" w:hAnsi="Arial" w:cs="Arial"/>
                <w:color w:val="363534"/>
                <w:szCs w:val="22"/>
              </w:rPr>
              <w:t xml:space="preserve">Water Security &amp; Resilience </w:t>
            </w:r>
            <w:r w:rsidR="00CF5A5C">
              <w:rPr>
                <w:rFonts w:ascii="Arial" w:hAnsi="Arial" w:cs="Arial"/>
                <w:color w:val="363534"/>
                <w:szCs w:val="22"/>
              </w:rPr>
              <w:t>–</w:t>
            </w:r>
            <w:r>
              <w:rPr>
                <w:rFonts w:ascii="Arial" w:hAnsi="Arial" w:cs="Arial"/>
                <w:color w:val="363534"/>
                <w:szCs w:val="22"/>
              </w:rPr>
              <w:t xml:space="preserve"> </w:t>
            </w:r>
            <w:r w:rsidR="00CF5A5C">
              <w:rPr>
                <w:rFonts w:ascii="Arial" w:hAnsi="Arial" w:cs="Arial"/>
                <w:color w:val="363534"/>
                <w:szCs w:val="22"/>
              </w:rPr>
              <w:t xml:space="preserve">Water Infrastructure Projects </w:t>
            </w:r>
          </w:p>
        </w:tc>
      </w:tr>
      <w:tr w:rsidR="00495B3B" w:rsidRPr="00495B3B" w14:paraId="37A0D7CE" w14:textId="77777777" w:rsidTr="7419AA31">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2A81B5F6" w:rsidR="00495B3B" w:rsidRPr="00495B3B" w:rsidRDefault="00CF401C" w:rsidP="00495B3B">
            <w:pPr>
              <w:spacing w:before="0" w:after="0"/>
              <w:ind w:left="57" w:right="-450"/>
              <w:rPr>
                <w:rFonts w:ascii="Arial" w:hAnsi="Arial" w:cs="Arial"/>
                <w:color w:val="363534"/>
                <w:szCs w:val="22"/>
              </w:rPr>
            </w:pPr>
            <w:r>
              <w:rPr>
                <w:rFonts w:ascii="Arial" w:hAnsi="Arial" w:cs="Arial"/>
                <w:color w:val="363534"/>
                <w:szCs w:val="22"/>
                <w:lang w:eastAsia="zh-CN"/>
              </w:rPr>
              <w:t>8 Nicholson</w:t>
            </w:r>
            <w:r w:rsidR="00CF5A5C">
              <w:rPr>
                <w:rFonts w:ascii="Arial" w:hAnsi="Arial" w:cs="Arial"/>
                <w:color w:val="363534"/>
                <w:szCs w:val="22"/>
                <w:lang w:eastAsia="zh-CN"/>
              </w:rPr>
              <w:t xml:space="preserve"> Street</w:t>
            </w:r>
            <w:r>
              <w:rPr>
                <w:rFonts w:ascii="Arial" w:hAnsi="Arial" w:cs="Arial"/>
                <w:color w:val="363534"/>
                <w:szCs w:val="22"/>
                <w:lang w:eastAsia="zh-CN"/>
              </w:rPr>
              <w:t>,</w:t>
            </w:r>
            <w:r w:rsidR="00CF5A5C">
              <w:rPr>
                <w:rFonts w:ascii="Arial" w:hAnsi="Arial" w:cs="Arial"/>
                <w:color w:val="363534"/>
                <w:szCs w:val="22"/>
                <w:lang w:eastAsia="zh-CN"/>
              </w:rPr>
              <w:t xml:space="preserve"> </w:t>
            </w:r>
            <w:r>
              <w:rPr>
                <w:rFonts w:ascii="Arial" w:hAnsi="Arial" w:cs="Arial"/>
                <w:color w:val="363534"/>
                <w:szCs w:val="22"/>
                <w:lang w:eastAsia="zh-CN"/>
              </w:rPr>
              <w:t xml:space="preserve">East </w:t>
            </w:r>
            <w:r w:rsidR="00CF5A5C">
              <w:rPr>
                <w:rFonts w:ascii="Arial" w:hAnsi="Arial" w:cs="Arial"/>
                <w:color w:val="363534"/>
                <w:szCs w:val="22"/>
                <w:lang w:eastAsia="zh-CN"/>
              </w:rPr>
              <w:t xml:space="preserve">Melbourne </w:t>
            </w:r>
            <w:r w:rsidR="00495B3B" w:rsidRPr="00495B3B">
              <w:rPr>
                <w:rFonts w:ascii="Arial" w:hAnsi="Arial" w:cs="Arial"/>
                <w:color w:val="363534"/>
                <w:szCs w:val="22"/>
              </w:rPr>
              <w:t xml:space="preserve"> </w:t>
            </w:r>
          </w:p>
          <w:p w14:paraId="3B7CA3B3" w14:textId="471B80DE"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CF5A5C">
              <w:rPr>
                <w:rFonts w:ascii="Arial" w:hAnsi="Arial" w:cs="Arial"/>
                <w:color w:val="363534"/>
                <w:szCs w:val="22"/>
              </w:rPr>
              <w:fldChar w:fldCharType="begin">
                <w:ffData>
                  <w:name w:val=""/>
                  <w:enabled/>
                  <w:calcOnExit w:val="0"/>
                  <w:checkBox>
                    <w:size w:val="26"/>
                    <w:default w:val="1"/>
                  </w:checkBox>
                </w:ffData>
              </w:fldChar>
            </w:r>
            <w:r w:rsidR="00CF5A5C">
              <w:rPr>
                <w:rFonts w:ascii="Arial" w:hAnsi="Arial" w:cs="Arial"/>
                <w:color w:val="363534"/>
                <w:szCs w:val="22"/>
              </w:rPr>
              <w:instrText xml:space="preserve"> FORMCHECKBOX </w:instrText>
            </w:r>
            <w:r w:rsidR="00CF5A5C">
              <w:rPr>
                <w:rFonts w:ascii="Arial" w:hAnsi="Arial" w:cs="Arial"/>
                <w:color w:val="363534"/>
                <w:szCs w:val="22"/>
              </w:rPr>
            </w:r>
            <w:r w:rsidR="00CF5A5C">
              <w:rPr>
                <w:rFonts w:ascii="Arial" w:hAnsi="Arial" w:cs="Arial"/>
                <w:color w:val="363534"/>
                <w:szCs w:val="22"/>
              </w:rPr>
              <w:fldChar w:fldCharType="separate"/>
            </w:r>
            <w:r w:rsidR="00CF5A5C">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7419AA31">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7C3FCC3" w:rsidR="00495B3B" w:rsidRPr="00495B3B" w:rsidRDefault="00CF5A5C"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Manager, Murray Programs Constraints </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7419AA31">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347BBF9" w:rsidR="00495B3B" w:rsidRPr="00495B3B" w:rsidRDefault="00F97CAB"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662695">
              <w:rPr>
                <w:rFonts w:ascii="Arial" w:hAnsi="Arial" w:cs="Arial"/>
                <w:color w:val="363534"/>
                <w:szCs w:val="22"/>
              </w:rPr>
              <w:fldChar w:fldCharType="begin">
                <w:ffData>
                  <w:name w:val=""/>
                  <w:enabled/>
                  <w:calcOnExit w:val="0"/>
                  <w:checkBox>
                    <w:size w:val="26"/>
                    <w:default w:val="1"/>
                  </w:checkBox>
                </w:ffData>
              </w:fldChar>
            </w:r>
            <w:r w:rsidR="00662695">
              <w:rPr>
                <w:rFonts w:ascii="Arial" w:hAnsi="Arial" w:cs="Arial"/>
                <w:color w:val="363534"/>
                <w:szCs w:val="22"/>
              </w:rPr>
              <w:instrText xml:space="preserve"> FORMCHECKBOX </w:instrText>
            </w:r>
            <w:r w:rsidR="00662695">
              <w:rPr>
                <w:rFonts w:ascii="Arial" w:hAnsi="Arial" w:cs="Arial"/>
                <w:color w:val="363534"/>
                <w:szCs w:val="22"/>
              </w:rPr>
            </w:r>
            <w:r w:rsidR="00662695">
              <w:rPr>
                <w:rFonts w:ascii="Arial" w:hAnsi="Arial" w:cs="Arial"/>
                <w:color w:val="363534"/>
                <w:szCs w:val="22"/>
              </w:rPr>
              <w:fldChar w:fldCharType="separate"/>
            </w:r>
            <w:r w:rsidR="00662695">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CF5A5C">
              <w:rPr>
                <w:rFonts w:ascii="Arial" w:hAnsi="Arial" w:cs="Arial"/>
                <w:color w:val="363534"/>
                <w:szCs w:val="22"/>
              </w:rPr>
              <w:t xml:space="preserve">  </w:t>
            </w:r>
          </w:p>
        </w:tc>
      </w:tr>
      <w:tr w:rsidR="00495B3B" w:rsidRPr="00495B3B" w14:paraId="70C7CF88" w14:textId="77777777" w:rsidTr="7419AA31">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0856C15" w:rsidR="00495B3B" w:rsidRPr="00495B3B" w:rsidRDefault="00CF401C" w:rsidP="00495B3B">
            <w:pPr>
              <w:spacing w:before="0" w:after="0"/>
              <w:ind w:left="57" w:right="-450"/>
              <w:rPr>
                <w:rFonts w:ascii="Arial" w:hAnsi="Arial" w:cs="Arial"/>
                <w:color w:val="363534"/>
                <w:szCs w:val="22"/>
              </w:rPr>
            </w:pPr>
            <w:r>
              <w:rPr>
                <w:rFonts w:ascii="Arial" w:hAnsi="Arial" w:cs="Arial"/>
                <w:color w:val="363534"/>
                <w:szCs w:val="22"/>
              </w:rPr>
              <w:t xml:space="preserve">Yi-Ming Ma, </w:t>
            </w:r>
            <w:r w:rsidR="00CF5A5C">
              <w:rPr>
                <w:rFonts w:ascii="Arial" w:hAnsi="Arial" w:cs="Arial"/>
                <w:color w:val="363534"/>
                <w:szCs w:val="22"/>
              </w:rPr>
              <w:t>Manager, Murray Programs Constraints</w:t>
            </w:r>
            <w:r w:rsidR="00070034">
              <w:rPr>
                <w:rFonts w:ascii="Arial" w:hAnsi="Arial" w:cs="Arial"/>
                <w:color w:val="363534"/>
                <w:szCs w:val="22"/>
              </w:rPr>
              <w:br/>
            </w:r>
            <w:r w:rsidR="00070034" w:rsidRPr="00070034">
              <w:rPr>
                <w:rFonts w:ascii="Arial" w:hAnsi="Arial" w:cs="Arial"/>
                <w:color w:val="363534"/>
                <w:szCs w:val="22"/>
              </w:rPr>
              <w:t>yi-ming.ma@deeca.vic.gov.au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01FC81F" w14:textId="1B49196F" w:rsidR="00846F54" w:rsidRDefault="00846F54">
      <w:pPr>
        <w:rPr>
          <w:color w:val="363534"/>
        </w:rPr>
      </w:pPr>
      <w:r>
        <w:rPr>
          <w:color w:val="363534"/>
        </w:rPr>
        <w:t>The Senior Project Officer – Constraints will support delivery of the Victoria</w:t>
      </w:r>
      <w:r w:rsidR="00D94B14">
        <w:rPr>
          <w:color w:val="363534"/>
        </w:rPr>
        <w:t>n</w:t>
      </w:r>
      <w:r>
        <w:rPr>
          <w:color w:val="363534"/>
        </w:rPr>
        <w:t xml:space="preserve"> Constraints Measures Program </w:t>
      </w:r>
      <w:r w:rsidR="00AC3911">
        <w:rPr>
          <w:color w:val="363534"/>
        </w:rPr>
        <w:t xml:space="preserve">(Victorian CMP) </w:t>
      </w:r>
      <w:r>
        <w:rPr>
          <w:color w:val="363534"/>
        </w:rPr>
        <w:t>through a blend of policy</w:t>
      </w:r>
      <w:r w:rsidR="00AC3911">
        <w:rPr>
          <w:color w:val="363534"/>
        </w:rPr>
        <w:t xml:space="preserve"> and </w:t>
      </w:r>
      <w:r>
        <w:rPr>
          <w:color w:val="363534"/>
        </w:rPr>
        <w:t xml:space="preserve">project coordination work. The role is suited to someone who wants to work across both policy and projects: shaping advice and decisions while </w:t>
      </w:r>
      <w:r w:rsidR="000B05AA">
        <w:rPr>
          <w:color w:val="363534"/>
        </w:rPr>
        <w:t>providing oversight on</w:t>
      </w:r>
      <w:r>
        <w:rPr>
          <w:color w:val="363534"/>
        </w:rPr>
        <w:t xml:space="preserve"> the practical delivery of complex water initiatives</w:t>
      </w:r>
      <w:r w:rsidR="000B05AA">
        <w:rPr>
          <w:color w:val="363534"/>
        </w:rPr>
        <w:t xml:space="preserve"> by regional project partners</w:t>
      </w:r>
      <w:r>
        <w:rPr>
          <w:color w:val="363534"/>
        </w:rPr>
        <w:t xml:space="preserve">. </w:t>
      </w:r>
    </w:p>
    <w:p w14:paraId="7DEAF175" w14:textId="1EBDA33E" w:rsidR="00FA1DF7" w:rsidRPr="00AC3911" w:rsidRDefault="04485FF4" w:rsidP="00AC3911">
      <w:pPr>
        <w:rPr>
          <w:color w:val="363534"/>
        </w:rPr>
      </w:pPr>
      <w:r w:rsidRPr="52563FBE">
        <w:rPr>
          <w:color w:val="363534"/>
        </w:rPr>
        <w:t xml:space="preserve">The </w:t>
      </w:r>
      <w:r w:rsidR="4263111D" w:rsidRPr="52563FBE">
        <w:rPr>
          <w:color w:val="363534"/>
        </w:rPr>
        <w:t xml:space="preserve">Victorian </w:t>
      </w:r>
      <w:r w:rsidRPr="52563FBE">
        <w:rPr>
          <w:color w:val="363534"/>
        </w:rPr>
        <w:t xml:space="preserve">CMP aims to reconnect </w:t>
      </w:r>
      <w:r w:rsidR="00E00125">
        <w:rPr>
          <w:color w:val="363534"/>
        </w:rPr>
        <w:t xml:space="preserve">the State’s </w:t>
      </w:r>
      <w:r w:rsidR="00276D16">
        <w:rPr>
          <w:color w:val="363534"/>
        </w:rPr>
        <w:t>northe</w:t>
      </w:r>
      <w:r w:rsidR="00E00125">
        <w:rPr>
          <w:color w:val="363534"/>
        </w:rPr>
        <w:t>rn rivers</w:t>
      </w:r>
      <w:r w:rsidR="007F45DF">
        <w:rPr>
          <w:color w:val="363534"/>
        </w:rPr>
        <w:t xml:space="preserve"> </w:t>
      </w:r>
      <w:r w:rsidRPr="52563FBE">
        <w:rPr>
          <w:color w:val="363534"/>
        </w:rPr>
        <w:t>with their floodplains</w:t>
      </w:r>
      <w:r w:rsidR="00025B36">
        <w:rPr>
          <w:color w:val="363534"/>
        </w:rPr>
        <w:t>, including but not limited to</w:t>
      </w:r>
      <w:r w:rsidRPr="52563FBE">
        <w:rPr>
          <w:color w:val="363534"/>
        </w:rPr>
        <w:t xml:space="preserve"> </w:t>
      </w:r>
      <w:r w:rsidR="00025B36" w:rsidRPr="52563FBE">
        <w:rPr>
          <w:color w:val="363534"/>
        </w:rPr>
        <w:t>the Murray and Goulburn rivers</w:t>
      </w:r>
      <w:r w:rsidR="0070446F">
        <w:rPr>
          <w:color w:val="363534"/>
        </w:rPr>
        <w:t>.  The project</w:t>
      </w:r>
      <w:r w:rsidRPr="52563FBE">
        <w:rPr>
          <w:color w:val="363534"/>
        </w:rPr>
        <w:t xml:space="preserve"> </w:t>
      </w:r>
      <w:r w:rsidR="003A2833">
        <w:rPr>
          <w:color w:val="363534"/>
        </w:rPr>
        <w:t xml:space="preserve">will </w:t>
      </w:r>
      <w:r w:rsidRPr="52563FBE">
        <w:rPr>
          <w:color w:val="363534"/>
        </w:rPr>
        <w:t>enabl</w:t>
      </w:r>
      <w:r w:rsidR="003A2833">
        <w:rPr>
          <w:color w:val="363534"/>
        </w:rPr>
        <w:t>e</w:t>
      </w:r>
      <w:r w:rsidRPr="52563FBE">
        <w:rPr>
          <w:color w:val="363534"/>
        </w:rPr>
        <w:t xml:space="preserve"> </w:t>
      </w:r>
      <w:r w:rsidR="00DA503A">
        <w:rPr>
          <w:color w:val="363534"/>
        </w:rPr>
        <w:t xml:space="preserve">improved river health through </w:t>
      </w:r>
      <w:r w:rsidRPr="52563FBE">
        <w:rPr>
          <w:color w:val="363534"/>
        </w:rPr>
        <w:t>more effective delivery of environmental water</w:t>
      </w:r>
      <w:r w:rsidR="00EC17EC">
        <w:rPr>
          <w:color w:val="363534"/>
        </w:rPr>
        <w:t xml:space="preserve"> and </w:t>
      </w:r>
      <w:r w:rsidR="00DA503A">
        <w:rPr>
          <w:color w:val="363534"/>
        </w:rPr>
        <w:t xml:space="preserve">by </w:t>
      </w:r>
      <w:r w:rsidR="00EC17EC">
        <w:rPr>
          <w:color w:val="363534"/>
        </w:rPr>
        <w:t>removing impediments to achieving environmental outcomes</w:t>
      </w:r>
      <w:r w:rsidRPr="52563FBE">
        <w:rPr>
          <w:color w:val="363534"/>
        </w:rPr>
        <w:t xml:space="preserve">. Victoria works with Basin partners to </w:t>
      </w:r>
      <w:r w:rsidR="009C2D54">
        <w:rPr>
          <w:color w:val="363534"/>
        </w:rPr>
        <w:t xml:space="preserve">assess </w:t>
      </w:r>
      <w:r w:rsidR="0079613D">
        <w:rPr>
          <w:color w:val="363534"/>
        </w:rPr>
        <w:t xml:space="preserve">the cost-benefits </w:t>
      </w:r>
      <w:r w:rsidRPr="52563FBE">
        <w:rPr>
          <w:color w:val="363534"/>
        </w:rPr>
        <w:t xml:space="preserve">constraints projects, </w:t>
      </w:r>
      <w:r w:rsidR="00462D6B">
        <w:rPr>
          <w:color w:val="363534"/>
        </w:rPr>
        <w:t xml:space="preserve">understand and </w:t>
      </w:r>
      <w:r w:rsidR="00A91ADA">
        <w:rPr>
          <w:color w:val="363534"/>
        </w:rPr>
        <w:t xml:space="preserve">develop proposals for </w:t>
      </w:r>
      <w:r w:rsidR="00462D6B">
        <w:rPr>
          <w:color w:val="363534"/>
        </w:rPr>
        <w:t>manag</w:t>
      </w:r>
      <w:r w:rsidR="00A91ADA">
        <w:rPr>
          <w:color w:val="363534"/>
        </w:rPr>
        <w:t>ing</w:t>
      </w:r>
      <w:r w:rsidRPr="52563FBE">
        <w:rPr>
          <w:color w:val="363534"/>
        </w:rPr>
        <w:t xml:space="preserve"> </w:t>
      </w:r>
      <w:r w:rsidR="00B0253B">
        <w:rPr>
          <w:color w:val="363534"/>
        </w:rPr>
        <w:t>likely</w:t>
      </w:r>
      <w:r w:rsidR="009D1ED1">
        <w:rPr>
          <w:color w:val="363534"/>
        </w:rPr>
        <w:t xml:space="preserve"> </w:t>
      </w:r>
      <w:r w:rsidRPr="52563FBE">
        <w:rPr>
          <w:color w:val="363534"/>
        </w:rPr>
        <w:t xml:space="preserve">impacts on communities and assets, and ensure clear communication with </w:t>
      </w:r>
      <w:r w:rsidR="00B0253B">
        <w:rPr>
          <w:color w:val="363534"/>
        </w:rPr>
        <w:t xml:space="preserve">potentially </w:t>
      </w:r>
      <w:r w:rsidRPr="52563FBE">
        <w:rPr>
          <w:color w:val="363534"/>
        </w:rPr>
        <w:t>affected stakeholders.</w:t>
      </w:r>
    </w:p>
    <w:p w14:paraId="600B9EEC" w14:textId="3F7F0D9C" w:rsidR="52563FBE" w:rsidRDefault="37F8931A" w:rsidP="7CBEE62E">
      <w:pPr>
        <w:rPr>
          <w:rFonts w:ascii="Arial" w:hAnsi="Arial"/>
          <w:color w:val="363534"/>
        </w:rPr>
      </w:pPr>
      <w:r w:rsidRPr="7CBEE62E">
        <w:rPr>
          <w:rFonts w:ascii="Arial" w:hAnsi="Arial"/>
          <w:color w:val="363534"/>
        </w:rPr>
        <w:t xml:space="preserve">Reporting to the Manager, Murray Programs Constraints, the role will help strengthen program oversight by </w:t>
      </w:r>
      <w:r w:rsidR="00C87F21">
        <w:rPr>
          <w:rFonts w:ascii="Arial" w:hAnsi="Arial"/>
          <w:color w:val="363534"/>
        </w:rPr>
        <w:t xml:space="preserve">integrating the </w:t>
      </w:r>
      <w:r w:rsidR="002A4910">
        <w:rPr>
          <w:rFonts w:ascii="Arial" w:hAnsi="Arial"/>
          <w:color w:val="363534"/>
        </w:rPr>
        <w:t xml:space="preserve">constraints project with the broader </w:t>
      </w:r>
      <w:r w:rsidR="0039064D">
        <w:rPr>
          <w:rFonts w:ascii="Arial" w:hAnsi="Arial"/>
          <w:color w:val="363534"/>
        </w:rPr>
        <w:t xml:space="preserve">river health and </w:t>
      </w:r>
      <w:r w:rsidR="001A2302">
        <w:rPr>
          <w:rFonts w:ascii="Arial" w:hAnsi="Arial"/>
          <w:color w:val="363534"/>
        </w:rPr>
        <w:t xml:space="preserve">Basin </w:t>
      </w:r>
      <w:r w:rsidR="00292DD8" w:rsidRPr="7CBEE62E">
        <w:rPr>
          <w:rFonts w:ascii="Arial" w:hAnsi="Arial"/>
          <w:color w:val="363534"/>
        </w:rPr>
        <w:t>policy</w:t>
      </w:r>
      <w:r w:rsidR="00292DD8">
        <w:rPr>
          <w:rFonts w:ascii="Arial" w:hAnsi="Arial"/>
          <w:color w:val="363534"/>
        </w:rPr>
        <w:t xml:space="preserve"> se</w:t>
      </w:r>
      <w:r w:rsidR="00811C4B">
        <w:rPr>
          <w:rFonts w:ascii="Arial" w:hAnsi="Arial"/>
          <w:color w:val="363534"/>
        </w:rPr>
        <w:t>ttings</w:t>
      </w:r>
      <w:r w:rsidRPr="7CBEE62E">
        <w:rPr>
          <w:rFonts w:ascii="Arial" w:hAnsi="Arial"/>
          <w:color w:val="363534"/>
        </w:rPr>
        <w:t xml:space="preserve">, </w:t>
      </w:r>
      <w:r w:rsidR="00811C4B">
        <w:rPr>
          <w:rFonts w:ascii="Arial" w:hAnsi="Arial"/>
          <w:color w:val="363534"/>
        </w:rPr>
        <w:t xml:space="preserve">including system </w:t>
      </w:r>
      <w:r w:rsidRPr="7CBEE62E">
        <w:rPr>
          <w:rFonts w:ascii="Arial" w:hAnsi="Arial"/>
          <w:color w:val="363534"/>
        </w:rPr>
        <w:t>operational and governance requirements. This includes articulating the interdependencies between constraints projects</w:t>
      </w:r>
      <w:r w:rsidR="009A63EF">
        <w:rPr>
          <w:rFonts w:ascii="Arial" w:hAnsi="Arial"/>
          <w:color w:val="363534"/>
        </w:rPr>
        <w:t xml:space="preserve"> and other</w:t>
      </w:r>
      <w:r w:rsidRPr="7CBEE62E">
        <w:rPr>
          <w:rFonts w:ascii="Arial" w:hAnsi="Arial"/>
          <w:color w:val="363534"/>
        </w:rPr>
        <w:t xml:space="preserve"> related work across northern Victoria; identifying risks, sequencing issues and decision points; and preparing clear advice to support project governance forums and senior decision makers. The role requires sound judgement to connect policy settings with project realities, including environmental water delivery, flood risk, stakeholder impacts and system operations considerations</w:t>
      </w:r>
      <w:r w:rsidR="38120270" w:rsidRPr="7CBEE62E">
        <w:rPr>
          <w:rFonts w:ascii="Arial" w:hAnsi="Arial"/>
          <w:color w:val="363534"/>
        </w:rPr>
        <w:t>.</w:t>
      </w:r>
    </w:p>
    <w:p w14:paraId="3C8B5D76" w14:textId="6B508764" w:rsidR="00FA1DF7" w:rsidRPr="00FA1DF7" w:rsidRDefault="3D8BD298" w:rsidP="7FFAFC7B">
      <w:pPr>
        <w:tabs>
          <w:tab w:val="left" w:pos="10178"/>
        </w:tabs>
        <w:spacing w:before="0" w:after="0"/>
        <w:ind w:right="114"/>
        <w:rPr>
          <w:rFonts w:ascii="Arial" w:hAnsi="Arial" w:cs="Arial"/>
          <w:noProof/>
          <w:color w:val="363534"/>
          <w:lang w:eastAsia="zh-CN"/>
        </w:rPr>
      </w:pPr>
      <w:r w:rsidRPr="7CBEE62E">
        <w:rPr>
          <w:rFonts w:ascii="Arial" w:hAnsi="Arial" w:cs="Arial"/>
          <w:noProof/>
          <w:color w:val="363534"/>
          <w:lang w:eastAsia="zh-CN"/>
        </w:rPr>
        <w:t>You will have a strong ability to manage and coordinate projects, excellent time</w:t>
      </w:r>
      <w:r w:rsidR="30D999B7" w:rsidRPr="7CBEE62E">
        <w:rPr>
          <w:rFonts w:ascii="Arial" w:hAnsi="Arial" w:cs="Arial"/>
          <w:noProof/>
          <w:color w:val="363534"/>
          <w:lang w:eastAsia="zh-CN"/>
        </w:rPr>
        <w:t xml:space="preserve"> and project</w:t>
      </w:r>
      <w:r w:rsidRPr="7CBEE62E">
        <w:rPr>
          <w:rFonts w:ascii="Arial" w:hAnsi="Arial" w:cs="Arial"/>
          <w:noProof/>
          <w:color w:val="363534"/>
          <w:lang w:eastAsia="zh-CN"/>
        </w:rPr>
        <w:t xml:space="preserve"> management skills to ensure timely delivery of outcomes, and writing skills to prepare succinct, strategic advice</w:t>
      </w:r>
      <w:r w:rsidR="032F7FE5" w:rsidRPr="7CBEE62E">
        <w:rPr>
          <w:rFonts w:ascii="Arial" w:hAnsi="Arial" w:cs="Arial"/>
          <w:noProof/>
          <w:color w:val="363534"/>
          <w:lang w:eastAsia="zh-CN"/>
        </w:rPr>
        <w:t xml:space="preserve"> to executives</w:t>
      </w:r>
      <w:r w:rsidRPr="7CBEE62E">
        <w:rPr>
          <w:rFonts w:ascii="Arial" w:hAnsi="Arial" w:cs="Arial"/>
          <w:noProof/>
          <w:color w:val="363534"/>
          <w:lang w:eastAsia="zh-CN"/>
        </w:rPr>
        <w:t>. The Senior Project Officer will have the ability to work well in a team environment and be adaptable given the fast-</w:t>
      </w:r>
      <w:r w:rsidRPr="7CBEE62E">
        <w:rPr>
          <w:rFonts w:ascii="Arial" w:hAnsi="Arial" w:cs="Arial"/>
          <w:noProof/>
          <w:color w:val="363534"/>
          <w:lang w:eastAsia="zh-CN"/>
        </w:rPr>
        <w:lastRenderedPageBreak/>
        <w:t xml:space="preserve">moving environment in which DEECA operates. You will be able to demonstrate a willingness to learn and focus on continuous improvement. </w:t>
      </w:r>
    </w:p>
    <w:p w14:paraId="4E266B1A" w14:textId="3B842F7B" w:rsidR="008114EC" w:rsidRPr="00596E61" w:rsidRDefault="00846F54" w:rsidP="00596E61">
      <w:pPr>
        <w:rPr>
          <w:kern w:val="2"/>
          <w14:ligatures w14:val="standardContextual"/>
        </w:rPr>
      </w:pPr>
      <w:r>
        <w:rPr>
          <w:color w:val="363534"/>
        </w:rPr>
        <w:t>Experience in, or a strong working knowledge of, the water sector, natural resource management, infrastructure planning or government project delivery will be highly regarded.</w:t>
      </w:r>
    </w:p>
    <w:p w14:paraId="24AB7EC5" w14:textId="77777777" w:rsidR="002B7593" w:rsidRPr="00495B3B" w:rsidRDefault="002B7593" w:rsidP="009D316C">
      <w:pPr>
        <w:tabs>
          <w:tab w:val="left" w:pos="10178"/>
        </w:tabs>
        <w:spacing w:before="0" w:after="0"/>
        <w:ind w:right="114"/>
        <w:rPr>
          <w:rFonts w:ascii="Arial" w:hAnsi="Arial" w:cs="Arial"/>
          <w:noProof/>
          <w:color w:val="363534"/>
          <w:szCs w:val="22"/>
          <w:lang w:eastAsia="zh-CN"/>
        </w:rPr>
      </w:pPr>
    </w:p>
    <w:p w14:paraId="2319F9A8" w14:textId="77777777" w:rsidR="00411084" w:rsidRPr="00495B3B" w:rsidRDefault="00411084" w:rsidP="00411084">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68B5FB3" w14:textId="77777777" w:rsidR="00411084" w:rsidRPr="00CD3B93" w:rsidRDefault="00411084" w:rsidP="00411084">
      <w:r w:rsidRPr="00CD3B93">
        <w:rPr>
          <w:i/>
          <w:iCs/>
        </w:rPr>
        <w:t>The Group </w:t>
      </w:r>
      <w:r w:rsidRPr="00CD3B93">
        <w:t> </w:t>
      </w:r>
    </w:p>
    <w:p w14:paraId="1BE31C50" w14:textId="77777777" w:rsidR="00411084" w:rsidRPr="00CD3B93" w:rsidRDefault="00411084" w:rsidP="00411084">
      <w:r w:rsidRPr="00CD3B93">
        <w:t>The Water and Catchments Group, in partnership with water corporations, catchment management authorities, Traditional Owners and the community, is responsible for managing Victoria’s water and catchment resources.  </w:t>
      </w:r>
    </w:p>
    <w:p w14:paraId="72C1EB12" w14:textId="77777777" w:rsidR="00411084" w:rsidRPr="00CD3B93" w:rsidRDefault="00411084" w:rsidP="00411084">
      <w:r w:rsidRPr="00CD3B93">
        <w:rPr>
          <w:i/>
          <w:iCs/>
        </w:rPr>
        <w:t>The Division </w:t>
      </w:r>
      <w:r w:rsidRPr="00CD3B93">
        <w:t> </w:t>
      </w:r>
    </w:p>
    <w:p w14:paraId="146412B8" w14:textId="77777777" w:rsidR="00411084" w:rsidRPr="00CD3B93" w:rsidRDefault="00411084" w:rsidP="00411084">
      <w:r w:rsidRPr="00CD3B93">
        <w:t>The Water Security and Resilience Division has accountability for the assurance for the security of Victoria’s water supplies and resilience to plan and respond to emergencies and climate change.  The Division leads long-term planning and develops policies to navigate the trends in water supply and demand. In addition, the Division is also responsible for management and oversight of large-scale water infrastructure projects for the Water and Catchments Group.    </w:t>
      </w:r>
    </w:p>
    <w:p w14:paraId="5E2ED603" w14:textId="77777777" w:rsidR="00411084" w:rsidRPr="00CD3B93" w:rsidRDefault="00411084" w:rsidP="00411084">
      <w:r w:rsidRPr="00CD3B93">
        <w:t>As climate change intensifies and our population grows, the security of our water resources is critical. This division brings together key branches to tackle our most pressing water challenges.  </w:t>
      </w:r>
    </w:p>
    <w:p w14:paraId="45D521A2" w14:textId="77777777" w:rsidR="00411084" w:rsidRPr="00CD3B93" w:rsidRDefault="00411084" w:rsidP="00411084">
      <w:pPr>
        <w:pStyle w:val="ListParagraph"/>
        <w:numPr>
          <w:ilvl w:val="0"/>
          <w:numId w:val="45"/>
        </w:numPr>
        <w:spacing w:after="160" w:line="259" w:lineRule="auto"/>
      </w:pPr>
      <w:r w:rsidRPr="00CD3B93">
        <w:t>Water Security Policy and Planning  </w:t>
      </w:r>
    </w:p>
    <w:p w14:paraId="1C7816F3" w14:textId="77777777" w:rsidR="00411084" w:rsidRPr="00CD3B93" w:rsidRDefault="00411084" w:rsidP="00411084">
      <w:pPr>
        <w:pStyle w:val="ListParagraph"/>
        <w:numPr>
          <w:ilvl w:val="0"/>
          <w:numId w:val="45"/>
        </w:numPr>
        <w:spacing w:after="160" w:line="259" w:lineRule="auto"/>
      </w:pPr>
      <w:r w:rsidRPr="00CD3B93">
        <w:t>Water Infrastructure Projects  </w:t>
      </w:r>
    </w:p>
    <w:p w14:paraId="46152C9D" w14:textId="77777777" w:rsidR="00411084" w:rsidRPr="00CD3B93" w:rsidRDefault="00411084" w:rsidP="00411084">
      <w:pPr>
        <w:pStyle w:val="ListParagraph"/>
        <w:numPr>
          <w:ilvl w:val="0"/>
          <w:numId w:val="45"/>
        </w:numPr>
        <w:spacing w:after="160" w:line="259" w:lineRule="auto"/>
      </w:pPr>
      <w:r w:rsidRPr="00CD3B93">
        <w:t>Victorian Desalination Project   </w:t>
      </w:r>
    </w:p>
    <w:p w14:paraId="355D4FB0" w14:textId="77777777" w:rsidR="00411084" w:rsidRPr="00190010" w:rsidRDefault="00411084" w:rsidP="00411084">
      <w:pPr>
        <w:pStyle w:val="ListParagraph"/>
        <w:numPr>
          <w:ilvl w:val="0"/>
          <w:numId w:val="45"/>
        </w:numPr>
        <w:jc w:val="both"/>
      </w:pPr>
      <w:r w:rsidRPr="00CD3B93">
        <w:t>Resilience and Emergency  </w:t>
      </w:r>
    </w:p>
    <w:p w14:paraId="57C6E5CF" w14:textId="77777777" w:rsidR="00411084" w:rsidRPr="006C6D55" w:rsidRDefault="00411084" w:rsidP="00411084">
      <w:pPr>
        <w:spacing w:before="240"/>
        <w:rPr>
          <w:rFonts w:ascii="Arial" w:hAnsi="Arial" w:cs="Arial"/>
          <w:i/>
          <w:iCs/>
          <w:noProof/>
          <w:color w:val="000000"/>
          <w:lang w:eastAsia="zh-CN"/>
        </w:rPr>
      </w:pPr>
      <w:r w:rsidRPr="006C6D55">
        <w:rPr>
          <w:rFonts w:ascii="Arial" w:hAnsi="Arial" w:cs="Arial"/>
          <w:i/>
          <w:iCs/>
          <w:noProof/>
          <w:color w:val="000000"/>
          <w:lang w:eastAsia="zh-CN"/>
        </w:rPr>
        <w:t xml:space="preserve">The Branch </w:t>
      </w:r>
    </w:p>
    <w:p w14:paraId="046B0BFF" w14:textId="77777777" w:rsidR="00411084" w:rsidRPr="0083182B" w:rsidRDefault="00411084" w:rsidP="00411084">
      <w:pPr>
        <w:keepNext/>
        <w:spacing w:line="240" w:lineRule="auto"/>
        <w:rPr>
          <w:rFonts w:ascii="Arial" w:hAnsi="Arial" w:cs="Arial"/>
          <w:noProof/>
          <w:color w:val="000000"/>
          <w:lang w:eastAsia="zh-CN"/>
        </w:rPr>
      </w:pPr>
      <w:r w:rsidRPr="7A8C89A8">
        <w:rPr>
          <w:rFonts w:ascii="Arial" w:hAnsi="Arial" w:cs="Arial"/>
          <w:noProof/>
          <w:color w:val="000000"/>
          <w:lang w:eastAsia="zh-CN"/>
        </w:rPr>
        <w:t>Water Infrastructure Projects Branch brings together capability to determine the feasibility of large-scale projects through the business case process and determine the delivery pathways to ensure benefits can be achieved. The Water Infrastructure Projects Branch will also deliver some of these projects or determines the best option for delivery with clear oversight of the implementation. This branch ensures that Victoria’s large infrastructure investment projects are feasible and delivered to a high standard with the appropriate applications of rigour and standards.</w:t>
      </w:r>
    </w:p>
    <w:p w14:paraId="47A5774F" w14:textId="4D0AA1E2" w:rsidR="00495B3B" w:rsidRPr="00495B3B" w:rsidRDefault="00495B3B" w:rsidP="4E6D5ACA">
      <w:pPr>
        <w:keepNext/>
        <w:spacing w:line="240" w:lineRule="auto"/>
        <w:rPr>
          <w:rFonts w:ascii="Arial" w:hAnsi="Arial" w:cs="Arial"/>
          <w:color w:val="442D97"/>
          <w:sz w:val="28"/>
          <w:szCs w:val="28"/>
          <w:lang w:eastAsia="zh-CN"/>
        </w:rPr>
      </w:pPr>
      <w:r w:rsidRPr="4E6D5ACA">
        <w:rPr>
          <w:rFonts w:ascii="Arial" w:hAnsi="Arial" w:cs="Arial"/>
          <w:color w:val="201546"/>
          <w:sz w:val="28"/>
          <w:szCs w:val="28"/>
          <w:lang w:eastAsia="zh-CN"/>
        </w:rPr>
        <w:t>Accountabilities</w:t>
      </w:r>
    </w:p>
    <w:p w14:paraId="1C91B2E1" w14:textId="3F7CE6E5" w:rsidR="07ADE137" w:rsidRDefault="4E6D5ACA" w:rsidP="07ADE137">
      <w:pPr>
        <w:pStyle w:val="ListParagraph"/>
        <w:numPr>
          <w:ilvl w:val="0"/>
          <w:numId w:val="45"/>
        </w:numPr>
      </w:pPr>
      <w:r>
        <w:t xml:space="preserve">Coordinate policy, project and stakeholder activities across constraints projects to support </w:t>
      </w:r>
      <w:r w:rsidR="00900ADE">
        <w:t>the evaluation</w:t>
      </w:r>
      <w:r w:rsidR="00644A1E">
        <w:t xml:space="preserve">, and where </w:t>
      </w:r>
      <w:r w:rsidR="002E5B97">
        <w:t xml:space="preserve">approved, </w:t>
      </w:r>
      <w:r>
        <w:t>delivery of the Victorian Constraints Measures Program, with a focus on program-level visibility, sequencing and interdependencies across northern Victoria.</w:t>
      </w:r>
    </w:p>
    <w:p w14:paraId="6FF40A6F" w14:textId="317227C4" w:rsidR="003874FB" w:rsidRPr="007F6EB2" w:rsidRDefault="25DCDEFA" w:rsidP="007F6EB2">
      <w:pPr>
        <w:pStyle w:val="ListParagraph"/>
        <w:numPr>
          <w:ilvl w:val="0"/>
          <w:numId w:val="45"/>
        </w:numPr>
        <w:spacing w:after="160" w:line="259" w:lineRule="auto"/>
      </w:pPr>
      <w:r>
        <w:t>Support governance, decision-making and interjurisdictional coordination arrangements, including advisory or working group processes where required.</w:t>
      </w:r>
    </w:p>
    <w:p w14:paraId="77B21D94" w14:textId="57AA27E9" w:rsidR="07ADE137" w:rsidRDefault="4E6D5ACA" w:rsidP="07ADE137">
      <w:pPr>
        <w:pStyle w:val="ListParagraph"/>
        <w:numPr>
          <w:ilvl w:val="0"/>
          <w:numId w:val="45"/>
        </w:numPr>
      </w:pPr>
      <w:r>
        <w:t>Develop and maintain simple project management, risk register and reporting tools to support program oversight, milestone tracking, governance reporting and delivery assurance.</w:t>
      </w:r>
    </w:p>
    <w:p w14:paraId="00414069" w14:textId="77777777" w:rsidR="003874FB" w:rsidRPr="007F6EB2" w:rsidRDefault="003874FB" w:rsidP="007F6EB2">
      <w:pPr>
        <w:pStyle w:val="ListParagraph"/>
        <w:numPr>
          <w:ilvl w:val="0"/>
          <w:numId w:val="45"/>
        </w:numPr>
        <w:spacing w:after="160" w:line="259" w:lineRule="auto"/>
      </w:pPr>
      <w:r w:rsidRPr="007F6EB2">
        <w:t>Translate technical, ecological and operational information into clear policy advice, briefings and materials for senior audiences.</w:t>
      </w:r>
    </w:p>
    <w:p w14:paraId="6250A7D3" w14:textId="77777777" w:rsidR="003874FB" w:rsidRPr="007F6EB2" w:rsidRDefault="003874FB" w:rsidP="007F6EB2">
      <w:pPr>
        <w:pStyle w:val="ListParagraph"/>
        <w:numPr>
          <w:ilvl w:val="0"/>
          <w:numId w:val="45"/>
        </w:numPr>
        <w:spacing w:after="160" w:line="259" w:lineRule="auto"/>
      </w:pPr>
      <w:r w:rsidRPr="007F6EB2">
        <w:t>Work collaboratively with government agencies, delivery partners, Traditional Owners and community stakeholders to support timely delivery of program activities and Victoria’s Murray-Darling Basin Plan commitments.</w:t>
      </w:r>
    </w:p>
    <w:p w14:paraId="4B4345E2" w14:textId="421B83E4" w:rsidR="003874FB" w:rsidRPr="007F6EB2" w:rsidRDefault="25DCDEFA" w:rsidP="007F6EB2">
      <w:pPr>
        <w:pStyle w:val="ListParagraph"/>
        <w:numPr>
          <w:ilvl w:val="0"/>
          <w:numId w:val="45"/>
        </w:numPr>
        <w:spacing w:after="160" w:line="259" w:lineRule="auto"/>
      </w:pPr>
      <w:r>
        <w:t>Prepare high-quality advice, briefings and correspondence on environmental works and constraints measures, including risks, issues, stakeholder interests and delivery implications.</w:t>
      </w:r>
    </w:p>
    <w:p w14:paraId="343FC06E" w14:textId="32509468" w:rsidR="07ADE137" w:rsidRDefault="4E6D5ACA" w:rsidP="07ADE137">
      <w:pPr>
        <w:pStyle w:val="ListParagraph"/>
        <w:numPr>
          <w:ilvl w:val="0"/>
          <w:numId w:val="45"/>
        </w:numPr>
      </w:pPr>
      <w:r>
        <w:t>Identify, monitor and escalate project risks, dependencies, sequencing issues and emerging matters, including the interface between environmental water delivery, system operations, community impacts and flood risk management expectations.</w:t>
      </w:r>
    </w:p>
    <w:p w14:paraId="2A2933CA" w14:textId="77777777" w:rsidR="003874FB" w:rsidRPr="007F6EB2" w:rsidRDefault="003874FB" w:rsidP="007F6EB2">
      <w:pPr>
        <w:pStyle w:val="ListParagraph"/>
        <w:numPr>
          <w:ilvl w:val="0"/>
          <w:numId w:val="45"/>
        </w:numPr>
        <w:spacing w:after="160" w:line="259" w:lineRule="auto"/>
      </w:pPr>
      <w:r w:rsidRPr="007F6EB2">
        <w:t>Contribute to a positive, inclusive and high-performing team culture across the branch and Water and Catchments Group.</w:t>
      </w:r>
    </w:p>
    <w:p w14:paraId="09B49524" w14:textId="54A448CB" w:rsidR="003874FB" w:rsidRPr="007F6EB2" w:rsidRDefault="003874FB" w:rsidP="007F6EB2">
      <w:pPr>
        <w:pStyle w:val="ListParagraph"/>
        <w:numPr>
          <w:ilvl w:val="0"/>
          <w:numId w:val="45"/>
        </w:numPr>
        <w:spacing w:after="160" w:line="259" w:lineRule="auto"/>
      </w:pPr>
      <w:r w:rsidRPr="007F6EB2">
        <w:t>Practi</w:t>
      </w:r>
      <w:r w:rsidR="001C36F3">
        <w:t>c</w:t>
      </w:r>
      <w:r w:rsidRPr="007F6EB2">
        <w:t>e cultural safety by supporting environments, relationships and systems that are free from racism and discrimination, so people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7F6EB2" w:rsidRDefault="00495B3B" w:rsidP="00495B3B">
      <w:pPr>
        <w:spacing w:before="160" w:after="0"/>
        <w:rPr>
          <w:rFonts w:ascii="Arial" w:hAnsi="Arial" w:cs="Arial"/>
          <w:b/>
          <w:color w:val="363534"/>
        </w:rPr>
      </w:pPr>
      <w:r w:rsidRPr="007F6EB2">
        <w:rPr>
          <w:rFonts w:ascii="Arial" w:hAnsi="Arial" w:cs="Arial"/>
          <w:b/>
          <w:color w:val="363534"/>
        </w:rPr>
        <w:t>Specialist/Technical Expertise/Qualifications</w:t>
      </w:r>
    </w:p>
    <w:p w14:paraId="5FD25D4C" w14:textId="77777777" w:rsidR="00000765" w:rsidRPr="007F6EB2" w:rsidRDefault="00000765" w:rsidP="00000765">
      <w:pPr>
        <w:pStyle w:val="ListParagraph"/>
        <w:numPr>
          <w:ilvl w:val="0"/>
          <w:numId w:val="43"/>
        </w:numPr>
        <w:rPr>
          <w:kern w:val="2"/>
          <w14:ligatures w14:val="standardContextual"/>
        </w:rPr>
      </w:pPr>
      <w:r w:rsidRPr="007F6EB2">
        <w:t>Experience delivering government programs, preferably in natural resource or water management.</w:t>
      </w:r>
    </w:p>
    <w:p w14:paraId="24522000" w14:textId="1B612E21" w:rsidR="00000765" w:rsidRPr="007F6EB2" w:rsidRDefault="00000765" w:rsidP="00000765">
      <w:pPr>
        <w:pStyle w:val="ListParagraph"/>
        <w:numPr>
          <w:ilvl w:val="0"/>
          <w:numId w:val="43"/>
        </w:numPr>
      </w:pPr>
      <w:r w:rsidRPr="007F6EB2">
        <w:t xml:space="preserve">Demonstrated </w:t>
      </w:r>
      <w:r w:rsidR="00465253" w:rsidRPr="007F6EB2">
        <w:t xml:space="preserve">end-to-end </w:t>
      </w:r>
      <w:r w:rsidRPr="007F6EB2">
        <w:t>project coordination skills in complex, multi-stakeholder environments.</w:t>
      </w:r>
    </w:p>
    <w:p w14:paraId="62DD3F46" w14:textId="6C5AD89E" w:rsidR="00495B3B" w:rsidRPr="007F6EB2" w:rsidRDefault="00495B3B" w:rsidP="00495B3B">
      <w:pPr>
        <w:spacing w:before="160" w:after="0"/>
        <w:rPr>
          <w:rFonts w:ascii="Arial" w:hAnsi="Arial" w:cs="Arial"/>
          <w:b/>
          <w:color w:val="363534"/>
        </w:rPr>
      </w:pPr>
      <w:r w:rsidRPr="007F6EB2">
        <w:rPr>
          <w:rFonts w:ascii="Arial" w:hAnsi="Arial" w:cs="Arial"/>
          <w:b/>
          <w:color w:val="363534"/>
        </w:rPr>
        <w:t>Capabilities</w:t>
      </w:r>
    </w:p>
    <w:p w14:paraId="20950C4E" w14:textId="77777777" w:rsidR="0029123D" w:rsidRPr="008A08F5" w:rsidRDefault="0029123D" w:rsidP="0029123D">
      <w:pPr>
        <w:pStyle w:val="ListParagraph"/>
        <w:numPr>
          <w:ilvl w:val="0"/>
          <w:numId w:val="43"/>
        </w:numPr>
        <w:rPr>
          <w:kern w:val="2"/>
          <w14:ligatures w14:val="standardContextual"/>
        </w:rPr>
      </w:pPr>
      <w:bookmarkStart w:id="1" w:name="_Hlk102550785"/>
      <w:r w:rsidRPr="008A08F5">
        <w:rPr>
          <w:b/>
          <w:bCs/>
        </w:rPr>
        <w:t>Project Delivery:</w:t>
      </w:r>
      <w:r w:rsidRPr="008A08F5">
        <w:t xml:space="preserve"> Defines, coordinates and monitors work activities to deliver agreed outcomes within timeframes, resources and governance requirements.</w:t>
      </w:r>
    </w:p>
    <w:p w14:paraId="1105CC54" w14:textId="77777777" w:rsidR="0029123D" w:rsidRPr="008A08F5" w:rsidRDefault="0029123D" w:rsidP="0029123D">
      <w:pPr>
        <w:pStyle w:val="ListParagraph"/>
        <w:numPr>
          <w:ilvl w:val="0"/>
          <w:numId w:val="43"/>
        </w:numPr>
      </w:pPr>
      <w:r w:rsidRPr="008A08F5">
        <w:rPr>
          <w:b/>
          <w:bCs/>
        </w:rPr>
        <w:t>Policy Design and Development:</w:t>
      </w:r>
      <w:r w:rsidRPr="008A08F5">
        <w:t xml:space="preserve"> Applies policy knowledge, evidence and stakeholder input to develop clear advice, options and recommendations.</w:t>
      </w:r>
    </w:p>
    <w:p w14:paraId="267C6AA4" w14:textId="77777777" w:rsidR="0029123D" w:rsidRPr="008A08F5" w:rsidRDefault="0029123D" w:rsidP="0029123D">
      <w:pPr>
        <w:pStyle w:val="ListParagraph"/>
        <w:numPr>
          <w:ilvl w:val="0"/>
          <w:numId w:val="43"/>
        </w:numPr>
      </w:pPr>
      <w:r w:rsidRPr="008A08F5">
        <w:rPr>
          <w:b/>
          <w:bCs/>
        </w:rPr>
        <w:t>Stakeholder Management:</w:t>
      </w:r>
      <w:r w:rsidRPr="008A08F5">
        <w:t xml:space="preserve"> Builds constructive relationships, understands stakeholder needs and manages expectations to support effective outcomes.</w:t>
      </w:r>
    </w:p>
    <w:p w14:paraId="0E13CAEE" w14:textId="77777777" w:rsidR="0029123D" w:rsidRPr="008A08F5" w:rsidRDefault="0029123D" w:rsidP="0029123D">
      <w:pPr>
        <w:pStyle w:val="ListParagraph"/>
        <w:numPr>
          <w:ilvl w:val="0"/>
          <w:numId w:val="43"/>
        </w:numPr>
      </w:pPr>
      <w:r w:rsidRPr="008A08F5">
        <w:rPr>
          <w:b/>
          <w:bCs/>
        </w:rPr>
        <w:t>Communicate with Impact:</w:t>
      </w:r>
      <w:r w:rsidRPr="008A08F5">
        <w:t xml:space="preserve"> Identifies key messages, tailors advice to the audience and presents information clearly to support decision-making.</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5D7B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D42FCDD"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95B3B" w:rsidRPr="00495B3B" w14:paraId="13112EBA" w14:textId="77777777" w:rsidTr="005D7B0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5D7B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47919AF8"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1"/>
      <w:tr w:rsidR="00495B3B" w:rsidRPr="00495B3B" w14:paraId="555B356F" w14:textId="77777777" w:rsidTr="005D7B0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729758C5"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C197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5D7B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5AA5A78" w14:textId="77777777" w:rsidR="00070034" w:rsidRPr="00070034" w:rsidRDefault="00070034" w:rsidP="00070034">
      <w:pPr>
        <w:keepNext/>
        <w:spacing w:before="360" w:line="240" w:lineRule="auto"/>
        <w:rPr>
          <w:rFonts w:ascii="Arial" w:hAnsi="Arial" w:cs="Arial"/>
          <w:bCs/>
          <w:color w:val="442D97"/>
          <w:sz w:val="28"/>
          <w:szCs w:val="28"/>
          <w:lang w:eastAsia="zh-CN"/>
        </w:rPr>
      </w:pPr>
      <w:r w:rsidRPr="00070034">
        <w:rPr>
          <w:rFonts w:ascii="Arial" w:hAnsi="Arial" w:cs="Arial"/>
          <w:bCs/>
          <w:color w:val="442D97"/>
          <w:sz w:val="28"/>
          <w:szCs w:val="28"/>
          <w:lang w:eastAsia="zh-CN"/>
        </w:rPr>
        <w:t>About the Department</w:t>
      </w:r>
    </w:p>
    <w:p w14:paraId="235DB404" w14:textId="77777777" w:rsidR="00070034" w:rsidRPr="00070034" w:rsidRDefault="00070034" w:rsidP="00070034">
      <w:pPr>
        <w:spacing w:before="0" w:after="0"/>
        <w:rPr>
          <w:rFonts w:ascii="Arial" w:hAnsi="Arial" w:cs="Arial"/>
          <w:color w:val="232222" w:themeColor="text1"/>
        </w:rPr>
      </w:pPr>
      <w:r w:rsidRPr="00070034">
        <w:rPr>
          <w:rFonts w:ascii="Arial" w:hAnsi="Arial" w:cs="Arial"/>
          <w:color w:val="232222" w:themeColor="text1"/>
        </w:rPr>
        <w:t>We employ approximately 6,300 staff, including around 600 seasonal staff, across more than 86 locations throughout Victoria, across energy, environment, climate action, water, agriculture, and resources portfolios.</w:t>
      </w:r>
    </w:p>
    <w:p w14:paraId="5CCFD232" w14:textId="77777777" w:rsidR="00070034" w:rsidRPr="00070034" w:rsidRDefault="00070034" w:rsidP="00070034">
      <w:pPr>
        <w:spacing w:before="0" w:after="0"/>
        <w:rPr>
          <w:rFonts w:ascii="Arial" w:hAnsi="Arial" w:cs="Arial"/>
          <w:color w:val="232222" w:themeColor="text1"/>
        </w:rPr>
      </w:pPr>
      <w:r w:rsidRPr="00070034">
        <w:rPr>
          <w:rFonts w:ascii="Arial" w:hAnsi="Arial" w:cs="Arial"/>
          <w:color w:val="232222" w:themeColor="text1"/>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BBFB2B7" w14:textId="77777777" w:rsidR="00070034" w:rsidRPr="00070034" w:rsidRDefault="00070034" w:rsidP="00070034">
      <w:pPr>
        <w:spacing w:before="0" w:after="0"/>
        <w:rPr>
          <w:rFonts w:ascii="Arial" w:hAnsi="Arial" w:cs="Arial"/>
          <w:color w:val="232222" w:themeColor="text1"/>
        </w:rPr>
      </w:pPr>
    </w:p>
    <w:p w14:paraId="7437D531" w14:textId="77777777" w:rsidR="00070034" w:rsidRPr="00070034" w:rsidRDefault="00070034" w:rsidP="00070034">
      <w:pPr>
        <w:spacing w:before="0" w:after="0" w:line="480" w:lineRule="auto"/>
        <w:rPr>
          <w:rFonts w:ascii="Arial" w:hAnsi="Arial" w:cs="Arial"/>
          <w:color w:val="232222" w:themeColor="text1"/>
          <w:lang w:eastAsia="en-US"/>
        </w:rPr>
      </w:pPr>
      <w:r w:rsidRPr="00070034">
        <w:rPr>
          <w:rFonts w:ascii="Arial" w:hAnsi="Arial" w:cs="Arial"/>
          <w:color w:val="232222" w:themeColor="text1"/>
          <w:lang w:eastAsia="en-US"/>
        </w:rPr>
        <w:t xml:space="preserve">For further information about the department, please visit our website </w:t>
      </w:r>
      <w:hyperlink r:id="rId25" w:history="1">
        <w:r w:rsidRPr="00070034">
          <w:rPr>
            <w:rFonts w:ascii="Arial" w:hAnsi="Arial" w:cs="Arial"/>
            <w:color w:val="232222" w:themeColor="text1"/>
            <w:u w:val="single"/>
            <w:lang w:eastAsia="en-US"/>
          </w:rPr>
          <w:t>www.deeca.vic.gov.au</w:t>
        </w:r>
      </w:hyperlink>
    </w:p>
    <w:p w14:paraId="1CFABA48" w14:textId="77777777" w:rsidR="00070034" w:rsidRPr="00070034" w:rsidRDefault="00070034" w:rsidP="00070034">
      <w:pPr>
        <w:keepNext/>
        <w:spacing w:before="0" w:line="240" w:lineRule="auto"/>
        <w:rPr>
          <w:rFonts w:ascii="Arial" w:eastAsia="Microsoft JhengHei" w:hAnsi="Arial"/>
          <w:iCs/>
          <w:color w:val="442D97"/>
          <w:spacing w:val="-2"/>
          <w:sz w:val="28"/>
          <w:szCs w:val="24"/>
        </w:rPr>
      </w:pPr>
      <w:r w:rsidRPr="00070034">
        <w:rPr>
          <w:rFonts w:ascii="Arial" w:eastAsia="Microsoft JhengHei" w:hAnsi="Arial"/>
          <w:iCs/>
          <w:color w:val="442D97"/>
          <w:spacing w:val="-2"/>
          <w:sz w:val="28"/>
          <w:szCs w:val="24"/>
        </w:rPr>
        <w:lastRenderedPageBreak/>
        <w:t>Our values</w:t>
      </w:r>
    </w:p>
    <w:p w14:paraId="59C90AD6" w14:textId="77777777" w:rsidR="00070034" w:rsidRPr="00070034" w:rsidRDefault="00070034" w:rsidP="00070034">
      <w:pPr>
        <w:spacing w:before="0" w:after="0" w:line="240" w:lineRule="auto"/>
        <w:rPr>
          <w:rFonts w:ascii="Arial" w:hAnsi="Arial" w:cs="Arial"/>
          <w:color w:val="232222" w:themeColor="text1"/>
        </w:rPr>
      </w:pPr>
      <w:r w:rsidRPr="00070034">
        <w:rPr>
          <w:rFonts w:ascii="Arial" w:hAnsi="Arial" w:cs="Arial"/>
          <w:color w:val="232222" w:themeColor="text1"/>
        </w:rPr>
        <w:t xml:space="preserve">Our values align with the core </w:t>
      </w:r>
      <w:hyperlink r:id="rId26" w:history="1">
        <w:r w:rsidRPr="00070034">
          <w:rPr>
            <w:rFonts w:ascii="Arial" w:hAnsi="Arial" w:cs="Arial"/>
            <w:color w:val="232222" w:themeColor="text1"/>
            <w:u w:val="single"/>
          </w:rPr>
          <w:t>Public Sector values</w:t>
        </w:r>
      </w:hyperlink>
      <w:r w:rsidRPr="00070034">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0B193CE" w14:textId="77777777" w:rsidR="00070034" w:rsidRPr="00070034" w:rsidRDefault="00070034" w:rsidP="00070034">
      <w:pPr>
        <w:spacing w:before="0" w:after="0" w:line="240" w:lineRule="auto"/>
        <w:rPr>
          <w:rFonts w:ascii="Arial" w:hAnsi="Arial" w:cs="Arial"/>
          <w:color w:val="232222" w:themeColor="text1"/>
        </w:rPr>
      </w:pPr>
    </w:p>
    <w:p w14:paraId="077FF412" w14:textId="77777777" w:rsidR="00070034" w:rsidRPr="00070034" w:rsidRDefault="00070034" w:rsidP="00070034">
      <w:pPr>
        <w:spacing w:after="0" w:line="240" w:lineRule="auto"/>
        <w:rPr>
          <w:rFonts w:ascii="Arial" w:hAnsi="Arial" w:cs="Arial"/>
          <w:color w:val="000000"/>
          <w:szCs w:val="22"/>
        </w:rPr>
      </w:pPr>
      <w:r w:rsidRPr="00070034">
        <w:rPr>
          <w:rFonts w:ascii="Arial" w:eastAsia="Microsoft JhengHei" w:hAnsi="Arial"/>
          <w:color w:val="442D97"/>
          <w:sz w:val="28"/>
          <w:szCs w:val="28"/>
        </w:rPr>
        <w:t>Our Community Charter</w:t>
      </w:r>
    </w:p>
    <w:p w14:paraId="52C30CC9" w14:textId="77777777" w:rsidR="00070034" w:rsidRPr="00070034" w:rsidRDefault="00070034" w:rsidP="00070034">
      <w:pPr>
        <w:spacing w:after="0" w:line="240" w:lineRule="auto"/>
        <w:rPr>
          <w:rFonts w:ascii="Arial" w:hAnsi="Arial" w:cs="Arial"/>
          <w:color w:val="232222" w:themeColor="text1"/>
        </w:rPr>
      </w:pPr>
      <w:r w:rsidRPr="00070034">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070034">
        <w:rPr>
          <w:rFonts w:ascii="Arial" w:hAnsi="Arial" w:cs="Arial"/>
          <w:color w:val="232222" w:themeColor="text1"/>
        </w:rPr>
        <w:t>take action</w:t>
      </w:r>
      <w:proofErr w:type="gramEnd"/>
      <w:r w:rsidRPr="00070034">
        <w:rPr>
          <w:rFonts w:ascii="Arial" w:hAnsi="Arial" w:cs="Arial"/>
          <w:color w:val="232222" w:themeColor="text1"/>
        </w:rPr>
        <w:t xml:space="preserve"> as we deliver services and create opportunities that supports thriving, productive, and sustainable communities, environments and industries. </w:t>
      </w:r>
    </w:p>
    <w:p w14:paraId="1FCE6858" w14:textId="77777777" w:rsidR="00070034" w:rsidRPr="00070034" w:rsidRDefault="00070034" w:rsidP="00070034">
      <w:pPr>
        <w:keepNext/>
        <w:spacing w:line="240" w:lineRule="auto"/>
        <w:rPr>
          <w:rFonts w:ascii="Arial" w:hAnsi="Arial" w:cs="Arial"/>
          <w:bCs/>
          <w:color w:val="442D97"/>
          <w:sz w:val="28"/>
          <w:szCs w:val="28"/>
          <w:lang w:eastAsia="zh-CN"/>
        </w:rPr>
      </w:pPr>
      <w:r w:rsidRPr="00070034">
        <w:rPr>
          <w:rFonts w:ascii="Arial" w:hAnsi="Arial" w:cs="Arial"/>
          <w:bCs/>
          <w:color w:val="442D97"/>
          <w:sz w:val="28"/>
          <w:szCs w:val="28"/>
          <w:lang w:eastAsia="zh-CN"/>
        </w:rPr>
        <w:t>Emergency Response and Health and Safety Requirements</w:t>
      </w:r>
    </w:p>
    <w:p w14:paraId="4C85ABF8" w14:textId="77777777" w:rsidR="00070034" w:rsidRPr="00070034" w:rsidRDefault="00070034" w:rsidP="00070034">
      <w:pPr>
        <w:spacing w:before="0" w:after="0" w:line="240" w:lineRule="auto"/>
        <w:contextualSpacing/>
        <w:outlineLvl w:val="1"/>
        <w:rPr>
          <w:rFonts w:ascii="Arial" w:hAnsi="Arial" w:cs="Arial"/>
          <w:color w:val="232222" w:themeColor="text1"/>
        </w:rPr>
      </w:pPr>
      <w:r w:rsidRPr="00070034">
        <w:rPr>
          <w:rFonts w:ascii="Arial" w:hAnsi="Arial" w:cs="Arial"/>
          <w:color w:val="232222" w:themeColor="text1"/>
        </w:rPr>
        <w:t>The department</w:t>
      </w:r>
      <w:r w:rsidRPr="00070034">
        <w:rPr>
          <w:rFonts w:ascii="Arial" w:hAnsi="Arial" w:cs="Arial"/>
          <w:b/>
          <w:color w:val="232222" w:themeColor="text1"/>
        </w:rPr>
        <w:t xml:space="preserve"> </w:t>
      </w:r>
      <w:r w:rsidRPr="00070034">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3F23252E" w14:textId="77777777" w:rsidR="00070034" w:rsidRPr="00070034" w:rsidRDefault="00070034" w:rsidP="00070034">
      <w:pPr>
        <w:spacing w:before="0" w:after="0" w:line="240" w:lineRule="auto"/>
        <w:contextualSpacing/>
        <w:outlineLvl w:val="1"/>
        <w:rPr>
          <w:rFonts w:ascii="Arial" w:hAnsi="Arial" w:cs="Arial"/>
          <w:color w:val="363534"/>
        </w:rPr>
      </w:pPr>
    </w:p>
    <w:p w14:paraId="4256389E" w14:textId="77777777" w:rsidR="00070034" w:rsidRPr="00070034" w:rsidRDefault="00070034" w:rsidP="00070034">
      <w:pPr>
        <w:keepNext/>
        <w:spacing w:line="240" w:lineRule="auto"/>
        <w:rPr>
          <w:rFonts w:ascii="Arial" w:hAnsi="Arial" w:cs="Arial"/>
          <w:bCs/>
          <w:color w:val="442D97"/>
          <w:sz w:val="28"/>
          <w:szCs w:val="28"/>
          <w:lang w:eastAsia="zh-CN"/>
        </w:rPr>
      </w:pPr>
      <w:r w:rsidRPr="00070034">
        <w:rPr>
          <w:rFonts w:ascii="Arial" w:hAnsi="Arial" w:cs="Arial"/>
          <w:bCs/>
          <w:color w:val="442D97"/>
          <w:sz w:val="28"/>
          <w:szCs w:val="28"/>
          <w:lang w:eastAsia="zh-CN"/>
        </w:rPr>
        <w:t xml:space="preserve">A Diverse, Inclusive and Flexible Workplace </w:t>
      </w:r>
    </w:p>
    <w:p w14:paraId="00C6D640" w14:textId="77777777" w:rsidR="00070034" w:rsidRPr="00070034" w:rsidRDefault="00070034" w:rsidP="00070034">
      <w:pPr>
        <w:spacing w:before="0" w:after="100" w:afterAutospacing="1" w:line="240" w:lineRule="auto"/>
        <w:rPr>
          <w:rFonts w:ascii="Arial" w:hAnsi="Arial" w:cs="Arial"/>
          <w:bCs/>
          <w:color w:val="232222" w:themeColor="text1"/>
          <w:szCs w:val="22"/>
        </w:rPr>
      </w:pPr>
      <w:r w:rsidRPr="00070034">
        <w:rPr>
          <w:rFonts w:ascii="Arial" w:hAnsi="Arial" w:cs="Arial"/>
          <w:color w:val="232222" w:themeColor="text1"/>
          <w:szCs w:val="22"/>
        </w:rPr>
        <w:t xml:space="preserve">DEECA welcomes applicants from a diverse range of </w:t>
      </w:r>
      <w:proofErr w:type="gramStart"/>
      <w:r w:rsidRPr="00070034">
        <w:rPr>
          <w:rFonts w:ascii="Arial" w:hAnsi="Arial" w:cs="Arial"/>
          <w:color w:val="232222" w:themeColor="text1"/>
          <w:szCs w:val="22"/>
        </w:rPr>
        <w:t>backgrounds</w:t>
      </w:r>
      <w:proofErr w:type="gramEnd"/>
      <w:r w:rsidRPr="00070034">
        <w:rPr>
          <w:rFonts w:ascii="Arial" w:hAnsi="Arial" w:cs="Arial"/>
          <w:color w:val="232222" w:themeColor="text1"/>
          <w:szCs w:val="22"/>
        </w:rPr>
        <w:t xml:space="preserve"> </w:t>
      </w:r>
      <w:r w:rsidRPr="00070034">
        <w:rPr>
          <w:rFonts w:ascii="Arial" w:eastAsia="Calibri" w:hAnsi="Arial" w:cs="Arial"/>
          <w:color w:val="232222" w:themeColor="text1"/>
          <w:szCs w:val="22"/>
        </w:rPr>
        <w:t xml:space="preserve">and we focus on the essential requirements of the job and being consistent and fair in our treatment of all applicants. </w:t>
      </w:r>
      <w:r w:rsidRPr="00070034">
        <w:rPr>
          <w:rFonts w:ascii="Arial" w:hAnsi="Arial" w:cs="Arial"/>
          <w:bCs/>
          <w:color w:val="232222" w:themeColor="text1"/>
          <w:szCs w:val="22"/>
        </w:rPr>
        <w:t>Our diversity and inclusion outcome pillars:</w:t>
      </w:r>
    </w:p>
    <w:p w14:paraId="67160859" w14:textId="77777777" w:rsidR="00070034" w:rsidRPr="00070034" w:rsidRDefault="00070034" w:rsidP="00070034">
      <w:pPr>
        <w:spacing w:before="100" w:beforeAutospacing="1" w:after="100" w:afterAutospacing="1" w:line="240" w:lineRule="auto"/>
        <w:rPr>
          <w:rFonts w:ascii="Arial" w:hAnsi="Arial" w:cs="Arial"/>
          <w:color w:val="232222" w:themeColor="text1"/>
          <w:szCs w:val="22"/>
        </w:rPr>
      </w:pPr>
      <w:r w:rsidRPr="00070034">
        <w:rPr>
          <w:rFonts w:ascii="Arial" w:hAnsi="Arial" w:cs="Arial"/>
          <w:color w:val="232222" w:themeColor="text1"/>
          <w:szCs w:val="22"/>
        </w:rPr>
        <w:t>1. We are connected to liveable, inclusive, sustainable communities</w:t>
      </w:r>
      <w:r w:rsidRPr="00070034">
        <w:rPr>
          <w:rFonts w:ascii="Arial" w:hAnsi="Arial" w:cs="Arial"/>
          <w:color w:val="232222" w:themeColor="text1"/>
          <w:szCs w:val="22"/>
        </w:rPr>
        <w:br/>
        <w:t xml:space="preserve">2. We are diverse </w:t>
      </w:r>
      <w:r w:rsidRPr="00070034">
        <w:rPr>
          <w:rFonts w:ascii="Arial" w:hAnsi="Arial" w:cs="Arial"/>
          <w:color w:val="232222" w:themeColor="text1"/>
          <w:szCs w:val="22"/>
        </w:rPr>
        <w:br/>
        <w:t xml:space="preserve">3. We are inclusive and flexible </w:t>
      </w:r>
      <w:r w:rsidRPr="00070034">
        <w:rPr>
          <w:rFonts w:ascii="Arial" w:hAnsi="Arial" w:cs="Arial"/>
          <w:color w:val="232222" w:themeColor="text1"/>
          <w:szCs w:val="22"/>
        </w:rPr>
        <w:br/>
        <w:t>4. We are safe and respectful</w:t>
      </w:r>
    </w:p>
    <w:p w14:paraId="534B39E4" w14:textId="77777777" w:rsidR="00070034" w:rsidRPr="00070034" w:rsidRDefault="00070034" w:rsidP="00070034">
      <w:pPr>
        <w:spacing w:before="0" w:after="0"/>
        <w:rPr>
          <w:rFonts w:ascii="Arial" w:hAnsi="Arial" w:cs="Arial"/>
          <w:color w:val="232222" w:themeColor="text1"/>
          <w:szCs w:val="22"/>
        </w:rPr>
      </w:pPr>
      <w:r w:rsidRPr="00070034">
        <w:rPr>
          <w:rFonts w:ascii="Arial" w:eastAsia="Calibri" w:hAnsi="Arial" w:cs="Arial"/>
          <w:color w:val="232222" w:themeColor="text1"/>
          <w:szCs w:val="22"/>
        </w:rPr>
        <w:t xml:space="preserve">DEECA </w:t>
      </w:r>
      <w:r w:rsidRPr="00070034">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07F8B2ED" w14:textId="77777777" w:rsidR="00070034" w:rsidRPr="00070034" w:rsidRDefault="00070034" w:rsidP="00070034">
      <w:pPr>
        <w:rPr>
          <w:rFonts w:ascii="Arial" w:hAnsi="Arial" w:cs="Arial"/>
          <w:b/>
          <w:bCs/>
          <w:color w:val="232222" w:themeColor="text1"/>
        </w:rPr>
      </w:pPr>
      <w:r w:rsidRPr="00070034">
        <w:rPr>
          <w:rFonts w:ascii="Arial" w:hAnsi="Arial" w:cs="Arial"/>
          <w:b/>
          <w:bCs/>
          <w:color w:val="232222" w:themeColor="text1"/>
        </w:rPr>
        <w:t>Aboriginal Cultural Safety</w:t>
      </w:r>
    </w:p>
    <w:p w14:paraId="6AF4F26E" w14:textId="77777777" w:rsidR="00070034" w:rsidRPr="00070034" w:rsidRDefault="00070034" w:rsidP="00070034">
      <w:pPr>
        <w:spacing w:before="0" w:after="0"/>
        <w:rPr>
          <w:rFonts w:ascii="Arial" w:hAnsi="Arial" w:cs="Arial"/>
          <w:color w:val="232222" w:themeColor="text1"/>
        </w:rPr>
      </w:pPr>
      <w:r w:rsidRPr="00070034">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7" w:history="1">
        <w:r w:rsidRPr="00070034">
          <w:rPr>
            <w:rFonts w:ascii="Arial" w:hAnsi="Arial" w:cs="Arial"/>
            <w:color w:val="232222" w:themeColor="text1"/>
            <w:u w:val="single"/>
          </w:rPr>
          <w:t>aboriginal.employment@deeca.vic.gov.au</w:t>
        </w:r>
      </w:hyperlink>
      <w:r w:rsidRPr="00070034">
        <w:rPr>
          <w:rFonts w:ascii="Arial" w:hAnsi="Arial"/>
          <w:color w:val="232222" w:themeColor="text1"/>
        </w:rPr>
        <w:t>.</w:t>
      </w:r>
    </w:p>
    <w:p w14:paraId="520558FA" w14:textId="77777777" w:rsidR="00070034" w:rsidRPr="00070034" w:rsidRDefault="00070034" w:rsidP="00070034">
      <w:pPr>
        <w:rPr>
          <w:rFonts w:ascii="Arial" w:hAnsi="Arial" w:cs="Arial"/>
          <w:b/>
          <w:color w:val="232222" w:themeColor="text1"/>
          <w:szCs w:val="22"/>
        </w:rPr>
      </w:pPr>
      <w:r w:rsidRPr="00070034">
        <w:rPr>
          <w:rFonts w:ascii="Arial" w:hAnsi="Arial" w:cs="Arial"/>
          <w:b/>
          <w:color w:val="232222" w:themeColor="text1"/>
          <w:szCs w:val="22"/>
        </w:rPr>
        <w:t>Balancing your Life / Hybrid Working</w:t>
      </w:r>
    </w:p>
    <w:p w14:paraId="323341C4" w14:textId="77777777" w:rsidR="00070034" w:rsidRPr="00070034" w:rsidRDefault="00070034" w:rsidP="00070034">
      <w:pPr>
        <w:rPr>
          <w:rFonts w:ascii="Arial" w:eastAsia="Calibri" w:hAnsi="Arial" w:cs="Arial"/>
          <w:color w:val="232222" w:themeColor="text1"/>
          <w:szCs w:val="22"/>
        </w:rPr>
      </w:pPr>
      <w:r w:rsidRPr="00070034">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36ED8F6" w14:textId="77777777" w:rsidR="00070034" w:rsidRPr="00070034" w:rsidRDefault="00070034" w:rsidP="00070034">
      <w:pPr>
        <w:spacing w:line="240" w:lineRule="auto"/>
        <w:rPr>
          <w:rFonts w:ascii="Arial" w:eastAsia="Microsoft JhengHei" w:hAnsi="Arial" w:cs="Arial"/>
          <w:color w:val="232222" w:themeColor="text1"/>
          <w:sz w:val="22"/>
          <w:szCs w:val="24"/>
          <w:u w:val="single"/>
          <w:lang w:eastAsia="en-US"/>
        </w:rPr>
      </w:pPr>
      <w:r w:rsidRPr="00070034">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070034">
        <w:rPr>
          <w:rFonts w:ascii="Arial" w:hAnsi="Arial" w:cs="Arial"/>
          <w:color w:val="232222" w:themeColor="text1"/>
          <w:sz w:val="28"/>
          <w:szCs w:val="28"/>
          <w:lang w:eastAsia="en-US"/>
        </w:rPr>
        <w:t xml:space="preserve"> </w:t>
      </w:r>
      <w:hyperlink r:id="rId28" w:history="1">
        <w:r w:rsidRPr="00070034">
          <w:rPr>
            <w:rFonts w:ascii="Arial" w:eastAsia="Microsoft JhengHei" w:hAnsi="Arial" w:cs="Arial"/>
            <w:color w:val="232222" w:themeColor="text1"/>
            <w:sz w:val="22"/>
            <w:szCs w:val="24"/>
            <w:u w:val="single"/>
            <w:lang w:eastAsia="en-US"/>
          </w:rPr>
          <w:t>customer.service@deeca.vic.gov.au</w:t>
        </w:r>
      </w:hyperlink>
    </w:p>
    <w:p w14:paraId="7E86509F" w14:textId="77777777" w:rsidR="00070034" w:rsidRPr="00070034" w:rsidRDefault="00070034" w:rsidP="00070034">
      <w:pPr>
        <w:spacing w:line="240" w:lineRule="auto"/>
        <w:rPr>
          <w:rFonts w:ascii="Arial" w:hAnsi="Arial"/>
        </w:rPr>
      </w:pPr>
    </w:p>
    <w:p w14:paraId="01CFDC53" w14:textId="77777777" w:rsidR="00070034" w:rsidRPr="00070034" w:rsidRDefault="00070034" w:rsidP="00070034">
      <w:pPr>
        <w:rPr>
          <w:rFonts w:ascii="Arial" w:hAnsi="Arial"/>
        </w:rPr>
      </w:pPr>
    </w:p>
    <w:p w14:paraId="69B28C1E" w14:textId="249EA846" w:rsidR="00A14A3F" w:rsidRPr="00EC1974" w:rsidRDefault="00A14A3F" w:rsidP="00070034">
      <w:pPr>
        <w:keepNext/>
        <w:spacing w:before="360" w:line="240" w:lineRule="auto"/>
        <w:rPr>
          <w:rFonts w:ascii="Arial" w:eastAsia="Microsoft JhengHei" w:hAnsi="Arial" w:cs="Arial"/>
          <w:sz w:val="22"/>
          <w:szCs w:val="24"/>
          <w:u w:val="single"/>
          <w:lang w:eastAsia="en-US"/>
        </w:rPr>
      </w:pPr>
    </w:p>
    <w:sectPr w:rsidR="00A14A3F" w:rsidRPr="00EC1974" w:rsidSect="007425C9">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C3610" w14:textId="77777777" w:rsidR="00E41CE6" w:rsidRDefault="00E41CE6" w:rsidP="00CD157B">
      <w:pPr>
        <w:pStyle w:val="NoSpacing"/>
      </w:pPr>
    </w:p>
    <w:p w14:paraId="4CE2D9C1" w14:textId="77777777" w:rsidR="00E41CE6" w:rsidRDefault="00E41CE6"/>
  </w:endnote>
  <w:endnote w:type="continuationSeparator" w:id="0">
    <w:p w14:paraId="6DE45DAE" w14:textId="77777777" w:rsidR="00E41CE6" w:rsidRDefault="00E41CE6" w:rsidP="00CD157B">
      <w:pPr>
        <w:pStyle w:val="NoSpacing"/>
      </w:pPr>
    </w:p>
    <w:p w14:paraId="6CEABD51" w14:textId="77777777" w:rsidR="00E41CE6" w:rsidRDefault="00E41CE6"/>
  </w:endnote>
  <w:endnote w:type="continuationNotice" w:id="1">
    <w:p w14:paraId="7FE6358C" w14:textId="77777777" w:rsidR="00E41CE6" w:rsidRDefault="00E41CE6" w:rsidP="00CD157B">
      <w:pPr>
        <w:pStyle w:val="NoSpacing"/>
      </w:pPr>
    </w:p>
    <w:p w14:paraId="3DA13565" w14:textId="77777777" w:rsidR="00E41CE6" w:rsidRDefault="00E41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3CD8C3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D40EAF" w:rsidRPr="00D40EAF">
      <w:rPr>
        <w:bCs w:val="0"/>
      </w:rPr>
      <w:t>April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690EF" w14:textId="77777777" w:rsidR="00E41CE6" w:rsidRPr="0056073C" w:rsidRDefault="00E41CE6" w:rsidP="005D764F">
      <w:pPr>
        <w:pStyle w:val="FootnoteSeparator"/>
      </w:pPr>
    </w:p>
    <w:p w14:paraId="34A30B00" w14:textId="77777777" w:rsidR="00E41CE6" w:rsidRDefault="00E41CE6"/>
  </w:footnote>
  <w:footnote w:type="continuationSeparator" w:id="0">
    <w:p w14:paraId="3BA70A84" w14:textId="77777777" w:rsidR="00E41CE6" w:rsidRPr="00CA30B7" w:rsidRDefault="00E41CE6" w:rsidP="006D5A90">
      <w:pPr>
        <w:rPr>
          <w:lang w:val="en-US"/>
        </w:rPr>
      </w:pPr>
      <w:r w:rsidRPr="00CA30B7">
        <w:rPr>
          <w:lang w:val="en-US"/>
        </w:rPr>
        <w:t>_______</w:t>
      </w:r>
    </w:p>
    <w:p w14:paraId="124B3D34" w14:textId="77777777" w:rsidR="00E41CE6" w:rsidRDefault="00E41CE6"/>
  </w:footnote>
  <w:footnote w:type="continuationNotice" w:id="1">
    <w:p w14:paraId="673A3FE1" w14:textId="77777777" w:rsidR="00E41CE6" w:rsidRDefault="00E41CE6" w:rsidP="006D5A90"/>
    <w:p w14:paraId="40B194CC" w14:textId="77777777" w:rsidR="00E41CE6" w:rsidRDefault="00E41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3E4883E"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71c5e8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85F9D1E"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541311"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74FAD8B"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18473EB"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78be20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82F5994"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2552" w14:textId="77777777" w:rsidR="00CE18AC" w:rsidRDefault="00CE18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FFCA" w14:textId="77777777" w:rsidR="00CE18AC" w:rsidRDefault="00CE18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ECC6949"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71c5e8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7225835"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ADCACAF"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1C5E77B"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8FB6CAC"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78be20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D433985"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F004A8A"/>
    <w:multiLevelType w:val="multilevel"/>
    <w:tmpl w:val="A724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2A3579F"/>
    <w:multiLevelType w:val="multilevel"/>
    <w:tmpl w:val="4CA0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E23AEC"/>
    <w:multiLevelType w:val="multilevel"/>
    <w:tmpl w:val="77A6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375029D"/>
    <w:multiLevelType w:val="hybridMultilevel"/>
    <w:tmpl w:val="C77A4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3E47DD1"/>
    <w:multiLevelType w:val="multilevel"/>
    <w:tmpl w:val="026C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8"/>
  </w:num>
  <w:num w:numId="4" w16cid:durableId="985085104">
    <w:abstractNumId w:val="11"/>
  </w:num>
  <w:num w:numId="5" w16cid:durableId="1872112631">
    <w:abstractNumId w:val="14"/>
  </w:num>
  <w:num w:numId="6" w16cid:durableId="336812815">
    <w:abstractNumId w:val="31"/>
  </w:num>
  <w:num w:numId="7" w16cid:durableId="155153463">
    <w:abstractNumId w:val="3"/>
  </w:num>
  <w:num w:numId="8" w16cid:durableId="1428236886">
    <w:abstractNumId w:val="35"/>
  </w:num>
  <w:num w:numId="9" w16cid:durableId="1644658156">
    <w:abstractNumId w:val="26"/>
  </w:num>
  <w:num w:numId="10" w16cid:durableId="103154041">
    <w:abstractNumId w:val="37"/>
  </w:num>
  <w:num w:numId="11" w16cid:durableId="2129203638">
    <w:abstractNumId w:val="42"/>
  </w:num>
  <w:num w:numId="12" w16cid:durableId="377365663">
    <w:abstractNumId w:val="32"/>
  </w:num>
  <w:num w:numId="13" w16cid:durableId="1308436166">
    <w:abstractNumId w:val="34"/>
  </w:num>
  <w:num w:numId="14" w16cid:durableId="1335643199">
    <w:abstractNumId w:val="46"/>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2"/>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7"/>
  </w:num>
  <w:num w:numId="36" w16cid:durableId="664823544">
    <w:abstractNumId w:val="53"/>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40"/>
  </w:num>
  <w:num w:numId="43" w16cid:durableId="729228463">
    <w:abstractNumId w:val="7"/>
  </w:num>
  <w:num w:numId="44" w16cid:durableId="322781625">
    <w:abstractNumId w:val="33"/>
  </w:num>
  <w:num w:numId="45" w16cid:durableId="799542928">
    <w:abstractNumId w:val="41"/>
  </w:num>
  <w:num w:numId="46" w16cid:durableId="1177766766">
    <w:abstractNumId w:val="50"/>
  </w:num>
  <w:num w:numId="47" w16cid:durableId="1696693587">
    <w:abstractNumId w:val="16"/>
  </w:num>
  <w:num w:numId="48" w16cid:durableId="1313557252">
    <w:abstractNumId w:val="19"/>
  </w:num>
  <w:num w:numId="49" w16cid:durableId="839202545">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Water and Catchments"/>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765"/>
    <w:rsid w:val="00000812"/>
    <w:rsid w:val="00000901"/>
    <w:rsid w:val="00001D81"/>
    <w:rsid w:val="00002244"/>
    <w:rsid w:val="00002691"/>
    <w:rsid w:val="00003260"/>
    <w:rsid w:val="000035F6"/>
    <w:rsid w:val="0000367E"/>
    <w:rsid w:val="00004327"/>
    <w:rsid w:val="00004618"/>
    <w:rsid w:val="000046A3"/>
    <w:rsid w:val="00004810"/>
    <w:rsid w:val="00004A68"/>
    <w:rsid w:val="00004CF0"/>
    <w:rsid w:val="00004EEE"/>
    <w:rsid w:val="000058A9"/>
    <w:rsid w:val="00005CCD"/>
    <w:rsid w:val="00006750"/>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5B36"/>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EFD"/>
    <w:rsid w:val="00050713"/>
    <w:rsid w:val="00050F0B"/>
    <w:rsid w:val="00051BFC"/>
    <w:rsid w:val="00051D5C"/>
    <w:rsid w:val="00052454"/>
    <w:rsid w:val="0005252A"/>
    <w:rsid w:val="000528CB"/>
    <w:rsid w:val="000531C8"/>
    <w:rsid w:val="00053221"/>
    <w:rsid w:val="00053C58"/>
    <w:rsid w:val="00053CC3"/>
    <w:rsid w:val="00054A64"/>
    <w:rsid w:val="0005566D"/>
    <w:rsid w:val="0005578D"/>
    <w:rsid w:val="00055A62"/>
    <w:rsid w:val="00056024"/>
    <w:rsid w:val="00056C63"/>
    <w:rsid w:val="000574CC"/>
    <w:rsid w:val="000574DD"/>
    <w:rsid w:val="00057EB4"/>
    <w:rsid w:val="00060B9F"/>
    <w:rsid w:val="000610DD"/>
    <w:rsid w:val="0006141F"/>
    <w:rsid w:val="00061BF2"/>
    <w:rsid w:val="000631FB"/>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034"/>
    <w:rsid w:val="00070773"/>
    <w:rsid w:val="0007095A"/>
    <w:rsid w:val="00070B05"/>
    <w:rsid w:val="0007166A"/>
    <w:rsid w:val="00071B87"/>
    <w:rsid w:val="00071FC0"/>
    <w:rsid w:val="00072080"/>
    <w:rsid w:val="0007232D"/>
    <w:rsid w:val="0007247D"/>
    <w:rsid w:val="00072E7B"/>
    <w:rsid w:val="000735E2"/>
    <w:rsid w:val="00073EF4"/>
    <w:rsid w:val="00073FC4"/>
    <w:rsid w:val="00074537"/>
    <w:rsid w:val="0007484F"/>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F37"/>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267"/>
    <w:rsid w:val="0008765C"/>
    <w:rsid w:val="00087AA2"/>
    <w:rsid w:val="00087CE5"/>
    <w:rsid w:val="00087DBC"/>
    <w:rsid w:val="0009026C"/>
    <w:rsid w:val="00090C31"/>
    <w:rsid w:val="00090CB5"/>
    <w:rsid w:val="00090D68"/>
    <w:rsid w:val="0009129D"/>
    <w:rsid w:val="000913B9"/>
    <w:rsid w:val="0009160B"/>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63F8"/>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08B"/>
    <w:rsid w:val="000B010B"/>
    <w:rsid w:val="000B02C8"/>
    <w:rsid w:val="000B05AA"/>
    <w:rsid w:val="000B07C0"/>
    <w:rsid w:val="000B174E"/>
    <w:rsid w:val="000B1783"/>
    <w:rsid w:val="000B2770"/>
    <w:rsid w:val="000B2778"/>
    <w:rsid w:val="000B36D8"/>
    <w:rsid w:val="000B389F"/>
    <w:rsid w:val="000B497E"/>
    <w:rsid w:val="000B51BB"/>
    <w:rsid w:val="000B5385"/>
    <w:rsid w:val="000B59CB"/>
    <w:rsid w:val="000B5AC1"/>
    <w:rsid w:val="000B5B6D"/>
    <w:rsid w:val="000B6301"/>
    <w:rsid w:val="000B65EE"/>
    <w:rsid w:val="000B6910"/>
    <w:rsid w:val="000B6A5F"/>
    <w:rsid w:val="000B6E1A"/>
    <w:rsid w:val="000B7386"/>
    <w:rsid w:val="000B74D9"/>
    <w:rsid w:val="000C02EC"/>
    <w:rsid w:val="000C036C"/>
    <w:rsid w:val="000C043D"/>
    <w:rsid w:val="000C0D53"/>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A9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55E"/>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DBF"/>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6A6"/>
    <w:rsid w:val="00107C8F"/>
    <w:rsid w:val="0011038E"/>
    <w:rsid w:val="0011045B"/>
    <w:rsid w:val="00110623"/>
    <w:rsid w:val="00110760"/>
    <w:rsid w:val="0011087C"/>
    <w:rsid w:val="00110A9B"/>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23"/>
    <w:rsid w:val="001252B3"/>
    <w:rsid w:val="00125676"/>
    <w:rsid w:val="00126251"/>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AB7"/>
    <w:rsid w:val="00145F74"/>
    <w:rsid w:val="0014604E"/>
    <w:rsid w:val="00146947"/>
    <w:rsid w:val="00147141"/>
    <w:rsid w:val="0014722D"/>
    <w:rsid w:val="00147B60"/>
    <w:rsid w:val="00150746"/>
    <w:rsid w:val="00150AD1"/>
    <w:rsid w:val="00150E38"/>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22"/>
    <w:rsid w:val="00161DFE"/>
    <w:rsid w:val="00162508"/>
    <w:rsid w:val="0016271B"/>
    <w:rsid w:val="00162EBC"/>
    <w:rsid w:val="0016336A"/>
    <w:rsid w:val="00163A5B"/>
    <w:rsid w:val="00163A88"/>
    <w:rsid w:val="00164012"/>
    <w:rsid w:val="001640D2"/>
    <w:rsid w:val="001644C7"/>
    <w:rsid w:val="00164716"/>
    <w:rsid w:val="00164A05"/>
    <w:rsid w:val="00164E5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AA"/>
    <w:rsid w:val="001806B5"/>
    <w:rsid w:val="001806EE"/>
    <w:rsid w:val="00180E8D"/>
    <w:rsid w:val="00180FF8"/>
    <w:rsid w:val="001813B0"/>
    <w:rsid w:val="001818D8"/>
    <w:rsid w:val="0018239D"/>
    <w:rsid w:val="0018271E"/>
    <w:rsid w:val="001827CC"/>
    <w:rsid w:val="00183096"/>
    <w:rsid w:val="001833DA"/>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56D"/>
    <w:rsid w:val="00191D42"/>
    <w:rsid w:val="0019236A"/>
    <w:rsid w:val="00192DC6"/>
    <w:rsid w:val="00192F5C"/>
    <w:rsid w:val="00193C8F"/>
    <w:rsid w:val="00193E53"/>
    <w:rsid w:val="00194013"/>
    <w:rsid w:val="001942E7"/>
    <w:rsid w:val="001945C8"/>
    <w:rsid w:val="001946E9"/>
    <w:rsid w:val="00194A76"/>
    <w:rsid w:val="00194AAE"/>
    <w:rsid w:val="00194B60"/>
    <w:rsid w:val="00195D19"/>
    <w:rsid w:val="00195DF5"/>
    <w:rsid w:val="00196A24"/>
    <w:rsid w:val="00196E13"/>
    <w:rsid w:val="0019756C"/>
    <w:rsid w:val="00197D54"/>
    <w:rsid w:val="001A0FC3"/>
    <w:rsid w:val="001A17FB"/>
    <w:rsid w:val="001A1E8A"/>
    <w:rsid w:val="001A2302"/>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6F3"/>
    <w:rsid w:val="001C3788"/>
    <w:rsid w:val="001C40E3"/>
    <w:rsid w:val="001C4657"/>
    <w:rsid w:val="001C5162"/>
    <w:rsid w:val="001C5290"/>
    <w:rsid w:val="001C578D"/>
    <w:rsid w:val="001C5E6E"/>
    <w:rsid w:val="001C71FB"/>
    <w:rsid w:val="001C72A9"/>
    <w:rsid w:val="001C73A0"/>
    <w:rsid w:val="001C78A3"/>
    <w:rsid w:val="001D064C"/>
    <w:rsid w:val="001D0889"/>
    <w:rsid w:val="001D11E7"/>
    <w:rsid w:val="001D134B"/>
    <w:rsid w:val="001D15F7"/>
    <w:rsid w:val="001D223D"/>
    <w:rsid w:val="001D2D53"/>
    <w:rsid w:val="001D30DA"/>
    <w:rsid w:val="001D34EA"/>
    <w:rsid w:val="001D39F8"/>
    <w:rsid w:val="001D3B02"/>
    <w:rsid w:val="001D414B"/>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9D4"/>
    <w:rsid w:val="001E5CD5"/>
    <w:rsid w:val="001E6360"/>
    <w:rsid w:val="001E6421"/>
    <w:rsid w:val="001E6674"/>
    <w:rsid w:val="001E67C2"/>
    <w:rsid w:val="001E70EA"/>
    <w:rsid w:val="001E75A2"/>
    <w:rsid w:val="001E7FE0"/>
    <w:rsid w:val="001F0748"/>
    <w:rsid w:val="001F0A72"/>
    <w:rsid w:val="001F2252"/>
    <w:rsid w:val="001F2255"/>
    <w:rsid w:val="001F2907"/>
    <w:rsid w:val="001F2C32"/>
    <w:rsid w:val="001F302E"/>
    <w:rsid w:val="001F3545"/>
    <w:rsid w:val="001F35A0"/>
    <w:rsid w:val="001F44D3"/>
    <w:rsid w:val="001F4765"/>
    <w:rsid w:val="001F4EF4"/>
    <w:rsid w:val="001F5040"/>
    <w:rsid w:val="001F5BF9"/>
    <w:rsid w:val="001F618A"/>
    <w:rsid w:val="001F61BB"/>
    <w:rsid w:val="001F6417"/>
    <w:rsid w:val="001F6460"/>
    <w:rsid w:val="001F6826"/>
    <w:rsid w:val="001F6E03"/>
    <w:rsid w:val="001F74F4"/>
    <w:rsid w:val="001F7585"/>
    <w:rsid w:val="001F75D2"/>
    <w:rsid w:val="001F75DA"/>
    <w:rsid w:val="001F7934"/>
    <w:rsid w:val="001F797E"/>
    <w:rsid w:val="001F79DC"/>
    <w:rsid w:val="001F7BC3"/>
    <w:rsid w:val="00200DC8"/>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496"/>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38F"/>
    <w:rsid w:val="0024087B"/>
    <w:rsid w:val="00240884"/>
    <w:rsid w:val="002408CA"/>
    <w:rsid w:val="0024178C"/>
    <w:rsid w:val="002421DA"/>
    <w:rsid w:val="00242490"/>
    <w:rsid w:val="00242651"/>
    <w:rsid w:val="00242821"/>
    <w:rsid w:val="002429C2"/>
    <w:rsid w:val="00242BBE"/>
    <w:rsid w:val="00242DCD"/>
    <w:rsid w:val="00243090"/>
    <w:rsid w:val="00243122"/>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016"/>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B14"/>
    <w:rsid w:val="00273C00"/>
    <w:rsid w:val="002743CC"/>
    <w:rsid w:val="00274C38"/>
    <w:rsid w:val="00274DED"/>
    <w:rsid w:val="002753CD"/>
    <w:rsid w:val="00275582"/>
    <w:rsid w:val="002755F3"/>
    <w:rsid w:val="00276D16"/>
    <w:rsid w:val="0027709F"/>
    <w:rsid w:val="0027759D"/>
    <w:rsid w:val="00277CC4"/>
    <w:rsid w:val="002800EC"/>
    <w:rsid w:val="002810E7"/>
    <w:rsid w:val="00281977"/>
    <w:rsid w:val="00281A8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23D"/>
    <w:rsid w:val="00291AB8"/>
    <w:rsid w:val="00291CB7"/>
    <w:rsid w:val="00292442"/>
    <w:rsid w:val="00292951"/>
    <w:rsid w:val="00292DD8"/>
    <w:rsid w:val="002932B2"/>
    <w:rsid w:val="00294B76"/>
    <w:rsid w:val="00294BD5"/>
    <w:rsid w:val="002953E2"/>
    <w:rsid w:val="00295458"/>
    <w:rsid w:val="002956B8"/>
    <w:rsid w:val="0029579B"/>
    <w:rsid w:val="00295CE4"/>
    <w:rsid w:val="00295F38"/>
    <w:rsid w:val="00295FA2"/>
    <w:rsid w:val="00296ABF"/>
    <w:rsid w:val="00296C8A"/>
    <w:rsid w:val="002975D7"/>
    <w:rsid w:val="002977C9"/>
    <w:rsid w:val="002978DC"/>
    <w:rsid w:val="00297960"/>
    <w:rsid w:val="00297C2D"/>
    <w:rsid w:val="002A012A"/>
    <w:rsid w:val="002A0A44"/>
    <w:rsid w:val="002A1002"/>
    <w:rsid w:val="002A11B8"/>
    <w:rsid w:val="002A120A"/>
    <w:rsid w:val="002A16B3"/>
    <w:rsid w:val="002A175E"/>
    <w:rsid w:val="002A1929"/>
    <w:rsid w:val="002A1ACC"/>
    <w:rsid w:val="002A21FE"/>
    <w:rsid w:val="002A26A8"/>
    <w:rsid w:val="002A344D"/>
    <w:rsid w:val="002A38CE"/>
    <w:rsid w:val="002A3D3F"/>
    <w:rsid w:val="002A4910"/>
    <w:rsid w:val="002A4E2C"/>
    <w:rsid w:val="002A4F2A"/>
    <w:rsid w:val="002A5F7A"/>
    <w:rsid w:val="002A6BA4"/>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2A3"/>
    <w:rsid w:val="002B63C6"/>
    <w:rsid w:val="002B68C9"/>
    <w:rsid w:val="002B6B22"/>
    <w:rsid w:val="002B6DF2"/>
    <w:rsid w:val="002B7185"/>
    <w:rsid w:val="002B742D"/>
    <w:rsid w:val="002B7593"/>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D7BA9"/>
    <w:rsid w:val="002E0204"/>
    <w:rsid w:val="002E03B0"/>
    <w:rsid w:val="002E0ED2"/>
    <w:rsid w:val="002E10F0"/>
    <w:rsid w:val="002E1116"/>
    <w:rsid w:val="002E1F33"/>
    <w:rsid w:val="002E22BE"/>
    <w:rsid w:val="002E2436"/>
    <w:rsid w:val="002E2FF4"/>
    <w:rsid w:val="002E3000"/>
    <w:rsid w:val="002E34C5"/>
    <w:rsid w:val="002E3829"/>
    <w:rsid w:val="002E3B71"/>
    <w:rsid w:val="002E4E4D"/>
    <w:rsid w:val="002E5553"/>
    <w:rsid w:val="002E585E"/>
    <w:rsid w:val="002E5B97"/>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6E45"/>
    <w:rsid w:val="002F7E61"/>
    <w:rsid w:val="0030025F"/>
    <w:rsid w:val="00300A07"/>
    <w:rsid w:val="00300DB5"/>
    <w:rsid w:val="0030113D"/>
    <w:rsid w:val="00301551"/>
    <w:rsid w:val="003015A4"/>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1B2"/>
    <w:rsid w:val="003116CF"/>
    <w:rsid w:val="003119B0"/>
    <w:rsid w:val="0031211F"/>
    <w:rsid w:val="0031266F"/>
    <w:rsid w:val="00312A7C"/>
    <w:rsid w:val="003134AD"/>
    <w:rsid w:val="00313761"/>
    <w:rsid w:val="00313F3C"/>
    <w:rsid w:val="00314B3B"/>
    <w:rsid w:val="00315198"/>
    <w:rsid w:val="003153A1"/>
    <w:rsid w:val="003155C2"/>
    <w:rsid w:val="00315B21"/>
    <w:rsid w:val="00315DC5"/>
    <w:rsid w:val="00315EE2"/>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565"/>
    <w:rsid w:val="00326753"/>
    <w:rsid w:val="00326A25"/>
    <w:rsid w:val="00326E64"/>
    <w:rsid w:val="003278BA"/>
    <w:rsid w:val="00327AC2"/>
    <w:rsid w:val="003306A2"/>
    <w:rsid w:val="00330BED"/>
    <w:rsid w:val="00330D46"/>
    <w:rsid w:val="00330F1F"/>
    <w:rsid w:val="00331625"/>
    <w:rsid w:val="00331931"/>
    <w:rsid w:val="00331C3A"/>
    <w:rsid w:val="00332F2C"/>
    <w:rsid w:val="00333033"/>
    <w:rsid w:val="0033314C"/>
    <w:rsid w:val="00333179"/>
    <w:rsid w:val="0033347D"/>
    <w:rsid w:val="003337C6"/>
    <w:rsid w:val="00333D25"/>
    <w:rsid w:val="003340B8"/>
    <w:rsid w:val="0033440F"/>
    <w:rsid w:val="003347F7"/>
    <w:rsid w:val="00334875"/>
    <w:rsid w:val="00334A06"/>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745"/>
    <w:rsid w:val="0034494D"/>
    <w:rsid w:val="00344AB7"/>
    <w:rsid w:val="00344D6E"/>
    <w:rsid w:val="003456FF"/>
    <w:rsid w:val="003457F1"/>
    <w:rsid w:val="0034595E"/>
    <w:rsid w:val="00345FCD"/>
    <w:rsid w:val="003462B0"/>
    <w:rsid w:val="003466F7"/>
    <w:rsid w:val="003468E1"/>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4A1"/>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404"/>
    <w:rsid w:val="00373597"/>
    <w:rsid w:val="003753F7"/>
    <w:rsid w:val="003756A1"/>
    <w:rsid w:val="00375877"/>
    <w:rsid w:val="00375A62"/>
    <w:rsid w:val="00375A74"/>
    <w:rsid w:val="00375DE3"/>
    <w:rsid w:val="003763C4"/>
    <w:rsid w:val="00376EF3"/>
    <w:rsid w:val="00376FAE"/>
    <w:rsid w:val="00376FEE"/>
    <w:rsid w:val="0037727C"/>
    <w:rsid w:val="00377A63"/>
    <w:rsid w:val="00377B4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874FB"/>
    <w:rsid w:val="0039064D"/>
    <w:rsid w:val="003911E0"/>
    <w:rsid w:val="003912A1"/>
    <w:rsid w:val="00392593"/>
    <w:rsid w:val="00392B47"/>
    <w:rsid w:val="00392F4B"/>
    <w:rsid w:val="00393FAA"/>
    <w:rsid w:val="0039407D"/>
    <w:rsid w:val="0039415F"/>
    <w:rsid w:val="00394307"/>
    <w:rsid w:val="0039477E"/>
    <w:rsid w:val="00394873"/>
    <w:rsid w:val="003948BD"/>
    <w:rsid w:val="00395144"/>
    <w:rsid w:val="003954A4"/>
    <w:rsid w:val="00395BCE"/>
    <w:rsid w:val="00396BC6"/>
    <w:rsid w:val="00396C39"/>
    <w:rsid w:val="00396D03"/>
    <w:rsid w:val="003970D2"/>
    <w:rsid w:val="003972D7"/>
    <w:rsid w:val="003972DF"/>
    <w:rsid w:val="003975FB"/>
    <w:rsid w:val="003978F8"/>
    <w:rsid w:val="003A040B"/>
    <w:rsid w:val="003A042A"/>
    <w:rsid w:val="003A1206"/>
    <w:rsid w:val="003A2833"/>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E81"/>
    <w:rsid w:val="003A7302"/>
    <w:rsid w:val="003A73B6"/>
    <w:rsid w:val="003A75E6"/>
    <w:rsid w:val="003A7AFC"/>
    <w:rsid w:val="003A7D99"/>
    <w:rsid w:val="003A7E54"/>
    <w:rsid w:val="003A7E6D"/>
    <w:rsid w:val="003B0139"/>
    <w:rsid w:val="003B0AC8"/>
    <w:rsid w:val="003B0DFA"/>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1D"/>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995"/>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18"/>
    <w:rsid w:val="003F43E9"/>
    <w:rsid w:val="003F449D"/>
    <w:rsid w:val="003F493C"/>
    <w:rsid w:val="003F5080"/>
    <w:rsid w:val="003F5238"/>
    <w:rsid w:val="003F596E"/>
    <w:rsid w:val="003F5A35"/>
    <w:rsid w:val="003F5B7D"/>
    <w:rsid w:val="003F5CB4"/>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084"/>
    <w:rsid w:val="00411642"/>
    <w:rsid w:val="00411972"/>
    <w:rsid w:val="00412A85"/>
    <w:rsid w:val="00413AAE"/>
    <w:rsid w:val="00413FB6"/>
    <w:rsid w:val="00414C7D"/>
    <w:rsid w:val="00414F4F"/>
    <w:rsid w:val="00415B2D"/>
    <w:rsid w:val="00415D09"/>
    <w:rsid w:val="00416026"/>
    <w:rsid w:val="00416180"/>
    <w:rsid w:val="00416661"/>
    <w:rsid w:val="0041673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008"/>
    <w:rsid w:val="00427279"/>
    <w:rsid w:val="004274DB"/>
    <w:rsid w:val="00427555"/>
    <w:rsid w:val="00427560"/>
    <w:rsid w:val="004302B1"/>
    <w:rsid w:val="00430302"/>
    <w:rsid w:val="0043079E"/>
    <w:rsid w:val="00430D33"/>
    <w:rsid w:val="00431082"/>
    <w:rsid w:val="0043117D"/>
    <w:rsid w:val="00431825"/>
    <w:rsid w:val="00431AF5"/>
    <w:rsid w:val="00431B86"/>
    <w:rsid w:val="00431EF3"/>
    <w:rsid w:val="0043270B"/>
    <w:rsid w:val="004328A8"/>
    <w:rsid w:val="004328CE"/>
    <w:rsid w:val="0043293F"/>
    <w:rsid w:val="00432E2E"/>
    <w:rsid w:val="004335DB"/>
    <w:rsid w:val="00433BC1"/>
    <w:rsid w:val="00433F43"/>
    <w:rsid w:val="004342DF"/>
    <w:rsid w:val="004343B1"/>
    <w:rsid w:val="0043446C"/>
    <w:rsid w:val="00434A81"/>
    <w:rsid w:val="00435969"/>
    <w:rsid w:val="00435D5B"/>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179"/>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2D6B"/>
    <w:rsid w:val="00463436"/>
    <w:rsid w:val="00463E1E"/>
    <w:rsid w:val="0046413C"/>
    <w:rsid w:val="004646F8"/>
    <w:rsid w:val="00464A44"/>
    <w:rsid w:val="0046505F"/>
    <w:rsid w:val="00465253"/>
    <w:rsid w:val="00465844"/>
    <w:rsid w:val="004658A0"/>
    <w:rsid w:val="00465AF2"/>
    <w:rsid w:val="00465F13"/>
    <w:rsid w:val="00466199"/>
    <w:rsid w:val="004664F8"/>
    <w:rsid w:val="00467141"/>
    <w:rsid w:val="004673DE"/>
    <w:rsid w:val="004675B5"/>
    <w:rsid w:val="00467742"/>
    <w:rsid w:val="00467ADF"/>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67C7"/>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18C"/>
    <w:rsid w:val="0049351D"/>
    <w:rsid w:val="00493F24"/>
    <w:rsid w:val="00494252"/>
    <w:rsid w:val="004944B4"/>
    <w:rsid w:val="00494963"/>
    <w:rsid w:val="00494D37"/>
    <w:rsid w:val="00494F94"/>
    <w:rsid w:val="0049582F"/>
    <w:rsid w:val="00495B3B"/>
    <w:rsid w:val="00495C62"/>
    <w:rsid w:val="00496404"/>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1C"/>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9B8"/>
    <w:rsid w:val="004C6BD5"/>
    <w:rsid w:val="004C6E0D"/>
    <w:rsid w:val="004C72DA"/>
    <w:rsid w:val="004C734B"/>
    <w:rsid w:val="004C77C7"/>
    <w:rsid w:val="004C79C1"/>
    <w:rsid w:val="004D085E"/>
    <w:rsid w:val="004D09C4"/>
    <w:rsid w:val="004D0D2A"/>
    <w:rsid w:val="004D0E09"/>
    <w:rsid w:val="004D1536"/>
    <w:rsid w:val="004D17F8"/>
    <w:rsid w:val="004D266E"/>
    <w:rsid w:val="004D3AA5"/>
    <w:rsid w:val="004D3ACE"/>
    <w:rsid w:val="004D4288"/>
    <w:rsid w:val="004D4AE2"/>
    <w:rsid w:val="004D4E1A"/>
    <w:rsid w:val="004D4E40"/>
    <w:rsid w:val="004D4FBD"/>
    <w:rsid w:val="004D5882"/>
    <w:rsid w:val="004D5B69"/>
    <w:rsid w:val="004D6821"/>
    <w:rsid w:val="004D752C"/>
    <w:rsid w:val="004D757E"/>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48B"/>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04"/>
    <w:rsid w:val="004F6047"/>
    <w:rsid w:val="004F6959"/>
    <w:rsid w:val="004F698C"/>
    <w:rsid w:val="004F6B8D"/>
    <w:rsid w:val="004F75C1"/>
    <w:rsid w:val="004F7BAE"/>
    <w:rsid w:val="00500401"/>
    <w:rsid w:val="0050070A"/>
    <w:rsid w:val="00500C6B"/>
    <w:rsid w:val="00501177"/>
    <w:rsid w:val="005014F2"/>
    <w:rsid w:val="0050214D"/>
    <w:rsid w:val="005021BD"/>
    <w:rsid w:val="00502F8C"/>
    <w:rsid w:val="00502F94"/>
    <w:rsid w:val="005038D0"/>
    <w:rsid w:val="00503CC8"/>
    <w:rsid w:val="00503F05"/>
    <w:rsid w:val="00504037"/>
    <w:rsid w:val="00504048"/>
    <w:rsid w:val="005040D3"/>
    <w:rsid w:val="0050473E"/>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BF"/>
    <w:rsid w:val="005238DE"/>
    <w:rsid w:val="00524213"/>
    <w:rsid w:val="00524EFB"/>
    <w:rsid w:val="00525264"/>
    <w:rsid w:val="005254C7"/>
    <w:rsid w:val="00525647"/>
    <w:rsid w:val="00525739"/>
    <w:rsid w:val="00525BE0"/>
    <w:rsid w:val="0052662E"/>
    <w:rsid w:val="00526635"/>
    <w:rsid w:val="005269A1"/>
    <w:rsid w:val="00526FB4"/>
    <w:rsid w:val="00527469"/>
    <w:rsid w:val="00527C7F"/>
    <w:rsid w:val="00531095"/>
    <w:rsid w:val="005310D1"/>
    <w:rsid w:val="0053113A"/>
    <w:rsid w:val="0053152B"/>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5DE9"/>
    <w:rsid w:val="00536B29"/>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0F3E"/>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2EA4"/>
    <w:rsid w:val="00564630"/>
    <w:rsid w:val="00564637"/>
    <w:rsid w:val="0056463E"/>
    <w:rsid w:val="00564D74"/>
    <w:rsid w:val="00565168"/>
    <w:rsid w:val="005654D3"/>
    <w:rsid w:val="005656E0"/>
    <w:rsid w:val="00565B5A"/>
    <w:rsid w:val="00565B78"/>
    <w:rsid w:val="00565B82"/>
    <w:rsid w:val="005664B7"/>
    <w:rsid w:val="00566D07"/>
    <w:rsid w:val="00566D20"/>
    <w:rsid w:val="00566E04"/>
    <w:rsid w:val="00567685"/>
    <w:rsid w:val="0057019D"/>
    <w:rsid w:val="0057036C"/>
    <w:rsid w:val="0057262E"/>
    <w:rsid w:val="00572853"/>
    <w:rsid w:val="00572D49"/>
    <w:rsid w:val="00573476"/>
    <w:rsid w:val="00573ADF"/>
    <w:rsid w:val="00573E71"/>
    <w:rsid w:val="005741BF"/>
    <w:rsid w:val="005743C2"/>
    <w:rsid w:val="00574B82"/>
    <w:rsid w:val="00574EF0"/>
    <w:rsid w:val="0057545A"/>
    <w:rsid w:val="0057571F"/>
    <w:rsid w:val="005758B4"/>
    <w:rsid w:val="00575DAA"/>
    <w:rsid w:val="0057639F"/>
    <w:rsid w:val="005763CD"/>
    <w:rsid w:val="00576577"/>
    <w:rsid w:val="00576C36"/>
    <w:rsid w:val="005775E8"/>
    <w:rsid w:val="0057774E"/>
    <w:rsid w:val="00577A46"/>
    <w:rsid w:val="005808C1"/>
    <w:rsid w:val="00580D1B"/>
    <w:rsid w:val="00581351"/>
    <w:rsid w:val="005819E4"/>
    <w:rsid w:val="005822D3"/>
    <w:rsid w:val="00582406"/>
    <w:rsid w:val="005824BF"/>
    <w:rsid w:val="00582ADA"/>
    <w:rsid w:val="00582B69"/>
    <w:rsid w:val="00582F97"/>
    <w:rsid w:val="005841FC"/>
    <w:rsid w:val="005843D3"/>
    <w:rsid w:val="005849AB"/>
    <w:rsid w:val="00584BB2"/>
    <w:rsid w:val="00584C06"/>
    <w:rsid w:val="0058538A"/>
    <w:rsid w:val="0058556B"/>
    <w:rsid w:val="005856B8"/>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84E"/>
    <w:rsid w:val="00593EF8"/>
    <w:rsid w:val="00594B88"/>
    <w:rsid w:val="0059548C"/>
    <w:rsid w:val="005956F6"/>
    <w:rsid w:val="0059591D"/>
    <w:rsid w:val="00595A22"/>
    <w:rsid w:val="00595C78"/>
    <w:rsid w:val="00595D1D"/>
    <w:rsid w:val="005965CD"/>
    <w:rsid w:val="00596A6E"/>
    <w:rsid w:val="00596B04"/>
    <w:rsid w:val="00596CF7"/>
    <w:rsid w:val="00596E61"/>
    <w:rsid w:val="00596F6F"/>
    <w:rsid w:val="0059706F"/>
    <w:rsid w:val="00597959"/>
    <w:rsid w:val="00597C60"/>
    <w:rsid w:val="005A018A"/>
    <w:rsid w:val="005A09FD"/>
    <w:rsid w:val="005A0F88"/>
    <w:rsid w:val="005A135A"/>
    <w:rsid w:val="005A187B"/>
    <w:rsid w:val="005A2986"/>
    <w:rsid w:val="005A2B11"/>
    <w:rsid w:val="005A2FCF"/>
    <w:rsid w:val="005A3440"/>
    <w:rsid w:val="005A37C4"/>
    <w:rsid w:val="005A38D8"/>
    <w:rsid w:val="005A3EED"/>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8B7"/>
    <w:rsid w:val="005C3AFE"/>
    <w:rsid w:val="005C3EF5"/>
    <w:rsid w:val="005C3EFB"/>
    <w:rsid w:val="005C414A"/>
    <w:rsid w:val="005C48BC"/>
    <w:rsid w:val="005C4A6F"/>
    <w:rsid w:val="005C4B58"/>
    <w:rsid w:val="005C565E"/>
    <w:rsid w:val="005C5889"/>
    <w:rsid w:val="005C5950"/>
    <w:rsid w:val="005C5E94"/>
    <w:rsid w:val="005C5F79"/>
    <w:rsid w:val="005C62F6"/>
    <w:rsid w:val="005C7604"/>
    <w:rsid w:val="005C7C99"/>
    <w:rsid w:val="005D010C"/>
    <w:rsid w:val="005D0130"/>
    <w:rsid w:val="005D0BE9"/>
    <w:rsid w:val="005D0C4E"/>
    <w:rsid w:val="005D1AC1"/>
    <w:rsid w:val="005D2097"/>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B00"/>
    <w:rsid w:val="005D7F05"/>
    <w:rsid w:val="005E0EAB"/>
    <w:rsid w:val="005E2165"/>
    <w:rsid w:val="005E22F3"/>
    <w:rsid w:val="005E25F3"/>
    <w:rsid w:val="005E2A47"/>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67A"/>
    <w:rsid w:val="005F38F7"/>
    <w:rsid w:val="005F3ACF"/>
    <w:rsid w:val="005F3BFD"/>
    <w:rsid w:val="005F422E"/>
    <w:rsid w:val="005F49C7"/>
    <w:rsid w:val="005F4AA1"/>
    <w:rsid w:val="005F4F76"/>
    <w:rsid w:val="005F514F"/>
    <w:rsid w:val="005F5198"/>
    <w:rsid w:val="005F586B"/>
    <w:rsid w:val="005F5B06"/>
    <w:rsid w:val="005F6D30"/>
    <w:rsid w:val="005F70A7"/>
    <w:rsid w:val="005F73AD"/>
    <w:rsid w:val="005F7955"/>
    <w:rsid w:val="00600DB4"/>
    <w:rsid w:val="00600FBB"/>
    <w:rsid w:val="0060101B"/>
    <w:rsid w:val="00601341"/>
    <w:rsid w:val="00601C2F"/>
    <w:rsid w:val="00602425"/>
    <w:rsid w:val="006035AB"/>
    <w:rsid w:val="0060377B"/>
    <w:rsid w:val="006039DD"/>
    <w:rsid w:val="00603AFA"/>
    <w:rsid w:val="00603CD3"/>
    <w:rsid w:val="00603CE8"/>
    <w:rsid w:val="0060442D"/>
    <w:rsid w:val="0060459A"/>
    <w:rsid w:val="00604680"/>
    <w:rsid w:val="00604854"/>
    <w:rsid w:val="00604B4C"/>
    <w:rsid w:val="00605ECF"/>
    <w:rsid w:val="0060612B"/>
    <w:rsid w:val="0060647D"/>
    <w:rsid w:val="0060668A"/>
    <w:rsid w:val="006067AF"/>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B88"/>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8B5"/>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1E"/>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695"/>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2CB"/>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6F9"/>
    <w:rsid w:val="00676908"/>
    <w:rsid w:val="00677476"/>
    <w:rsid w:val="00677CF9"/>
    <w:rsid w:val="00677D56"/>
    <w:rsid w:val="00680533"/>
    <w:rsid w:val="006816E7"/>
    <w:rsid w:val="00681B28"/>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1DA"/>
    <w:rsid w:val="006933DC"/>
    <w:rsid w:val="00693729"/>
    <w:rsid w:val="00694268"/>
    <w:rsid w:val="00694C72"/>
    <w:rsid w:val="00694D4B"/>
    <w:rsid w:val="00694E4A"/>
    <w:rsid w:val="00694F35"/>
    <w:rsid w:val="006953A7"/>
    <w:rsid w:val="00695A70"/>
    <w:rsid w:val="006A09EE"/>
    <w:rsid w:val="006A0A3B"/>
    <w:rsid w:val="006A0EE1"/>
    <w:rsid w:val="006A12C5"/>
    <w:rsid w:val="006A1B45"/>
    <w:rsid w:val="006A1D29"/>
    <w:rsid w:val="006A2255"/>
    <w:rsid w:val="006A28F4"/>
    <w:rsid w:val="006A2FDA"/>
    <w:rsid w:val="006A30ED"/>
    <w:rsid w:val="006A381E"/>
    <w:rsid w:val="006A384C"/>
    <w:rsid w:val="006A39C7"/>
    <w:rsid w:val="006A3CBF"/>
    <w:rsid w:val="006A3D28"/>
    <w:rsid w:val="006A4BB3"/>
    <w:rsid w:val="006A4D86"/>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3F23"/>
    <w:rsid w:val="006C44D4"/>
    <w:rsid w:val="006C4E89"/>
    <w:rsid w:val="006C520D"/>
    <w:rsid w:val="006C5FC0"/>
    <w:rsid w:val="006C60BE"/>
    <w:rsid w:val="006C643A"/>
    <w:rsid w:val="006C67B9"/>
    <w:rsid w:val="006C6A9B"/>
    <w:rsid w:val="006C6A9F"/>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0FD"/>
    <w:rsid w:val="006E21AC"/>
    <w:rsid w:val="006E2399"/>
    <w:rsid w:val="006E23C3"/>
    <w:rsid w:val="006E2883"/>
    <w:rsid w:val="006E3765"/>
    <w:rsid w:val="006E3CB1"/>
    <w:rsid w:val="006E3D17"/>
    <w:rsid w:val="006E3D3C"/>
    <w:rsid w:val="006E3DDA"/>
    <w:rsid w:val="006E3E8F"/>
    <w:rsid w:val="006E479E"/>
    <w:rsid w:val="006E52D9"/>
    <w:rsid w:val="006E57B4"/>
    <w:rsid w:val="006E5B98"/>
    <w:rsid w:val="006E6303"/>
    <w:rsid w:val="006E6D63"/>
    <w:rsid w:val="006E6DD9"/>
    <w:rsid w:val="006E7B08"/>
    <w:rsid w:val="006F0022"/>
    <w:rsid w:val="006F04BD"/>
    <w:rsid w:val="006F0E03"/>
    <w:rsid w:val="006F1C0F"/>
    <w:rsid w:val="006F1DED"/>
    <w:rsid w:val="006F24CC"/>
    <w:rsid w:val="006F2759"/>
    <w:rsid w:val="006F2A91"/>
    <w:rsid w:val="006F2D33"/>
    <w:rsid w:val="006F2D7A"/>
    <w:rsid w:val="006F2FF5"/>
    <w:rsid w:val="006F379C"/>
    <w:rsid w:val="006F4220"/>
    <w:rsid w:val="006F69F6"/>
    <w:rsid w:val="006F6BCB"/>
    <w:rsid w:val="006F7104"/>
    <w:rsid w:val="006F73FC"/>
    <w:rsid w:val="006F778D"/>
    <w:rsid w:val="0070015E"/>
    <w:rsid w:val="00701020"/>
    <w:rsid w:val="007011CA"/>
    <w:rsid w:val="00701265"/>
    <w:rsid w:val="00701AFC"/>
    <w:rsid w:val="007022EC"/>
    <w:rsid w:val="007028F0"/>
    <w:rsid w:val="00702DB7"/>
    <w:rsid w:val="00703563"/>
    <w:rsid w:val="007039E6"/>
    <w:rsid w:val="00703CB5"/>
    <w:rsid w:val="00703CE8"/>
    <w:rsid w:val="0070446F"/>
    <w:rsid w:val="00704737"/>
    <w:rsid w:val="00704C1B"/>
    <w:rsid w:val="007052BA"/>
    <w:rsid w:val="0070548B"/>
    <w:rsid w:val="007059EA"/>
    <w:rsid w:val="00705C2C"/>
    <w:rsid w:val="00705D34"/>
    <w:rsid w:val="00706311"/>
    <w:rsid w:val="00706362"/>
    <w:rsid w:val="0070638A"/>
    <w:rsid w:val="007066EA"/>
    <w:rsid w:val="0070708F"/>
    <w:rsid w:val="00707326"/>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FE2"/>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525"/>
    <w:rsid w:val="0073663C"/>
    <w:rsid w:val="0073689E"/>
    <w:rsid w:val="00737F14"/>
    <w:rsid w:val="00740175"/>
    <w:rsid w:val="007402DC"/>
    <w:rsid w:val="00740A8B"/>
    <w:rsid w:val="00740ECE"/>
    <w:rsid w:val="0074107F"/>
    <w:rsid w:val="0074158C"/>
    <w:rsid w:val="007422D3"/>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A55"/>
    <w:rsid w:val="0075327D"/>
    <w:rsid w:val="00753CBF"/>
    <w:rsid w:val="00753E3C"/>
    <w:rsid w:val="007547D9"/>
    <w:rsid w:val="00754973"/>
    <w:rsid w:val="0075591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3FB4"/>
    <w:rsid w:val="007640BA"/>
    <w:rsid w:val="00764958"/>
    <w:rsid w:val="00764D97"/>
    <w:rsid w:val="00765219"/>
    <w:rsid w:val="0076543B"/>
    <w:rsid w:val="00765BED"/>
    <w:rsid w:val="007661B9"/>
    <w:rsid w:val="007663EC"/>
    <w:rsid w:val="00766B7A"/>
    <w:rsid w:val="00766D74"/>
    <w:rsid w:val="00766F86"/>
    <w:rsid w:val="00767285"/>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1E84"/>
    <w:rsid w:val="0078255C"/>
    <w:rsid w:val="0078260C"/>
    <w:rsid w:val="00782A2E"/>
    <w:rsid w:val="00782E31"/>
    <w:rsid w:val="007837DE"/>
    <w:rsid w:val="007837E1"/>
    <w:rsid w:val="00783D00"/>
    <w:rsid w:val="00783FF2"/>
    <w:rsid w:val="00784C03"/>
    <w:rsid w:val="00785350"/>
    <w:rsid w:val="0078698A"/>
    <w:rsid w:val="00786A3A"/>
    <w:rsid w:val="00786CB0"/>
    <w:rsid w:val="00786D12"/>
    <w:rsid w:val="00786EEB"/>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13D"/>
    <w:rsid w:val="0079673D"/>
    <w:rsid w:val="007967C5"/>
    <w:rsid w:val="00796E01"/>
    <w:rsid w:val="00797016"/>
    <w:rsid w:val="00797573"/>
    <w:rsid w:val="00797622"/>
    <w:rsid w:val="00797CC4"/>
    <w:rsid w:val="00797CDB"/>
    <w:rsid w:val="007A0FDB"/>
    <w:rsid w:val="007A1C6A"/>
    <w:rsid w:val="007A23FF"/>
    <w:rsid w:val="007A2523"/>
    <w:rsid w:val="007A2922"/>
    <w:rsid w:val="007A42F5"/>
    <w:rsid w:val="007A4A0B"/>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4E"/>
    <w:rsid w:val="007B5697"/>
    <w:rsid w:val="007B57F8"/>
    <w:rsid w:val="007B599B"/>
    <w:rsid w:val="007B59D0"/>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83D"/>
    <w:rsid w:val="007C6D10"/>
    <w:rsid w:val="007C71CA"/>
    <w:rsid w:val="007C7D6F"/>
    <w:rsid w:val="007D051A"/>
    <w:rsid w:val="007D0DEF"/>
    <w:rsid w:val="007D109C"/>
    <w:rsid w:val="007D1F51"/>
    <w:rsid w:val="007D2793"/>
    <w:rsid w:val="007D2A83"/>
    <w:rsid w:val="007D3034"/>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29"/>
    <w:rsid w:val="007E375A"/>
    <w:rsid w:val="007E3D4B"/>
    <w:rsid w:val="007E3F57"/>
    <w:rsid w:val="007E40EE"/>
    <w:rsid w:val="007E4AF8"/>
    <w:rsid w:val="007E5126"/>
    <w:rsid w:val="007E5339"/>
    <w:rsid w:val="007E5872"/>
    <w:rsid w:val="007E5889"/>
    <w:rsid w:val="007E5B4E"/>
    <w:rsid w:val="007E694C"/>
    <w:rsid w:val="007E6AE1"/>
    <w:rsid w:val="007E6BA6"/>
    <w:rsid w:val="007E7171"/>
    <w:rsid w:val="007E78A6"/>
    <w:rsid w:val="007F0104"/>
    <w:rsid w:val="007F0D3C"/>
    <w:rsid w:val="007F12FF"/>
    <w:rsid w:val="007F1347"/>
    <w:rsid w:val="007F1526"/>
    <w:rsid w:val="007F17D1"/>
    <w:rsid w:val="007F1A74"/>
    <w:rsid w:val="007F2A15"/>
    <w:rsid w:val="007F2AD9"/>
    <w:rsid w:val="007F30EA"/>
    <w:rsid w:val="007F3358"/>
    <w:rsid w:val="007F360E"/>
    <w:rsid w:val="007F3BE7"/>
    <w:rsid w:val="007F4196"/>
    <w:rsid w:val="007F45DF"/>
    <w:rsid w:val="007F4C8C"/>
    <w:rsid w:val="007F62CF"/>
    <w:rsid w:val="007F6922"/>
    <w:rsid w:val="007F6E06"/>
    <w:rsid w:val="007F6EB2"/>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4EC"/>
    <w:rsid w:val="00811C4B"/>
    <w:rsid w:val="00811C69"/>
    <w:rsid w:val="00811EFC"/>
    <w:rsid w:val="0081202A"/>
    <w:rsid w:val="00812114"/>
    <w:rsid w:val="00812255"/>
    <w:rsid w:val="008122A0"/>
    <w:rsid w:val="0081324A"/>
    <w:rsid w:val="008134B5"/>
    <w:rsid w:val="00813622"/>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17D25"/>
    <w:rsid w:val="0082015C"/>
    <w:rsid w:val="0082050D"/>
    <w:rsid w:val="00821321"/>
    <w:rsid w:val="00821C4C"/>
    <w:rsid w:val="0082267E"/>
    <w:rsid w:val="0082304B"/>
    <w:rsid w:val="00823348"/>
    <w:rsid w:val="00823A4D"/>
    <w:rsid w:val="0082411F"/>
    <w:rsid w:val="008243F7"/>
    <w:rsid w:val="00824B95"/>
    <w:rsid w:val="00824C66"/>
    <w:rsid w:val="00824E09"/>
    <w:rsid w:val="0082621E"/>
    <w:rsid w:val="00826288"/>
    <w:rsid w:val="008263F2"/>
    <w:rsid w:val="00826B73"/>
    <w:rsid w:val="00827196"/>
    <w:rsid w:val="008273DE"/>
    <w:rsid w:val="0082784D"/>
    <w:rsid w:val="00827C33"/>
    <w:rsid w:val="008303F6"/>
    <w:rsid w:val="0083047E"/>
    <w:rsid w:val="00830A76"/>
    <w:rsid w:val="008310EA"/>
    <w:rsid w:val="00831C65"/>
    <w:rsid w:val="00831CBA"/>
    <w:rsid w:val="00832059"/>
    <w:rsid w:val="0083215A"/>
    <w:rsid w:val="008325D4"/>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37FA2"/>
    <w:rsid w:val="0084009E"/>
    <w:rsid w:val="00840C91"/>
    <w:rsid w:val="00840F2D"/>
    <w:rsid w:val="0084171D"/>
    <w:rsid w:val="00841981"/>
    <w:rsid w:val="00842222"/>
    <w:rsid w:val="00842607"/>
    <w:rsid w:val="00842E21"/>
    <w:rsid w:val="00842E33"/>
    <w:rsid w:val="008436A5"/>
    <w:rsid w:val="008440AA"/>
    <w:rsid w:val="00844805"/>
    <w:rsid w:val="0084597A"/>
    <w:rsid w:val="00845A1D"/>
    <w:rsid w:val="00846597"/>
    <w:rsid w:val="008468B6"/>
    <w:rsid w:val="00846B00"/>
    <w:rsid w:val="00846D14"/>
    <w:rsid w:val="00846F54"/>
    <w:rsid w:val="008473E4"/>
    <w:rsid w:val="0084799E"/>
    <w:rsid w:val="008501F6"/>
    <w:rsid w:val="008505BB"/>
    <w:rsid w:val="00850973"/>
    <w:rsid w:val="008511B9"/>
    <w:rsid w:val="008514A4"/>
    <w:rsid w:val="00851A7F"/>
    <w:rsid w:val="0085219D"/>
    <w:rsid w:val="00852497"/>
    <w:rsid w:val="00852C39"/>
    <w:rsid w:val="00852D2C"/>
    <w:rsid w:val="00852DF1"/>
    <w:rsid w:val="008531CC"/>
    <w:rsid w:val="00853988"/>
    <w:rsid w:val="00853A46"/>
    <w:rsid w:val="00853F2C"/>
    <w:rsid w:val="00854A0F"/>
    <w:rsid w:val="00854B2A"/>
    <w:rsid w:val="00855268"/>
    <w:rsid w:val="00856573"/>
    <w:rsid w:val="008565AA"/>
    <w:rsid w:val="00857361"/>
    <w:rsid w:val="008579CB"/>
    <w:rsid w:val="0086023E"/>
    <w:rsid w:val="00860B54"/>
    <w:rsid w:val="00860DDF"/>
    <w:rsid w:val="0086172F"/>
    <w:rsid w:val="00861EA4"/>
    <w:rsid w:val="00862057"/>
    <w:rsid w:val="008624EC"/>
    <w:rsid w:val="008625C9"/>
    <w:rsid w:val="00863657"/>
    <w:rsid w:val="00864874"/>
    <w:rsid w:val="0086499C"/>
    <w:rsid w:val="00864D16"/>
    <w:rsid w:val="00864EF0"/>
    <w:rsid w:val="0086570D"/>
    <w:rsid w:val="00865D0F"/>
    <w:rsid w:val="008663A2"/>
    <w:rsid w:val="00866DAF"/>
    <w:rsid w:val="00866EA2"/>
    <w:rsid w:val="0086785A"/>
    <w:rsid w:val="00867BC6"/>
    <w:rsid w:val="00867CE4"/>
    <w:rsid w:val="00867D73"/>
    <w:rsid w:val="00867EFE"/>
    <w:rsid w:val="0087004D"/>
    <w:rsid w:val="00870214"/>
    <w:rsid w:val="008703CC"/>
    <w:rsid w:val="00870A00"/>
    <w:rsid w:val="008717E0"/>
    <w:rsid w:val="008719A5"/>
    <w:rsid w:val="00871D40"/>
    <w:rsid w:val="008725EE"/>
    <w:rsid w:val="00872D01"/>
    <w:rsid w:val="00873815"/>
    <w:rsid w:val="00873FA6"/>
    <w:rsid w:val="00873FF8"/>
    <w:rsid w:val="008740BF"/>
    <w:rsid w:val="0087478C"/>
    <w:rsid w:val="008749EF"/>
    <w:rsid w:val="00874E11"/>
    <w:rsid w:val="008759D2"/>
    <w:rsid w:val="00875D1A"/>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8F5"/>
    <w:rsid w:val="008A0940"/>
    <w:rsid w:val="008A17BE"/>
    <w:rsid w:val="008A17C5"/>
    <w:rsid w:val="008A19B9"/>
    <w:rsid w:val="008A27F2"/>
    <w:rsid w:val="008A2A93"/>
    <w:rsid w:val="008A2E7A"/>
    <w:rsid w:val="008A2FF2"/>
    <w:rsid w:val="008A3B5D"/>
    <w:rsid w:val="008A3FCD"/>
    <w:rsid w:val="008A4142"/>
    <w:rsid w:val="008A45F2"/>
    <w:rsid w:val="008A490F"/>
    <w:rsid w:val="008A4B37"/>
    <w:rsid w:val="008A4E0D"/>
    <w:rsid w:val="008A56DB"/>
    <w:rsid w:val="008A5A9C"/>
    <w:rsid w:val="008A6607"/>
    <w:rsid w:val="008A67A7"/>
    <w:rsid w:val="008A6B48"/>
    <w:rsid w:val="008A6B90"/>
    <w:rsid w:val="008A7EC1"/>
    <w:rsid w:val="008B0077"/>
    <w:rsid w:val="008B0A37"/>
    <w:rsid w:val="008B0B77"/>
    <w:rsid w:val="008B0F45"/>
    <w:rsid w:val="008B10A3"/>
    <w:rsid w:val="008B1109"/>
    <w:rsid w:val="008B26A7"/>
    <w:rsid w:val="008B2799"/>
    <w:rsid w:val="008B2A6B"/>
    <w:rsid w:val="008B2C26"/>
    <w:rsid w:val="008B3E1B"/>
    <w:rsid w:val="008B4899"/>
    <w:rsid w:val="008B4DF1"/>
    <w:rsid w:val="008B634B"/>
    <w:rsid w:val="008B67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44"/>
    <w:rsid w:val="008C2D57"/>
    <w:rsid w:val="008C35D3"/>
    <w:rsid w:val="008C4460"/>
    <w:rsid w:val="008C49E2"/>
    <w:rsid w:val="008C4B34"/>
    <w:rsid w:val="008C4EDA"/>
    <w:rsid w:val="008C5356"/>
    <w:rsid w:val="008C55BC"/>
    <w:rsid w:val="008C5CAF"/>
    <w:rsid w:val="008C677A"/>
    <w:rsid w:val="008C686D"/>
    <w:rsid w:val="008C68FE"/>
    <w:rsid w:val="008C6D20"/>
    <w:rsid w:val="008C74A2"/>
    <w:rsid w:val="008C74C5"/>
    <w:rsid w:val="008C7A0D"/>
    <w:rsid w:val="008D047A"/>
    <w:rsid w:val="008D080C"/>
    <w:rsid w:val="008D0B5B"/>
    <w:rsid w:val="008D118E"/>
    <w:rsid w:val="008D12C7"/>
    <w:rsid w:val="008D1CF5"/>
    <w:rsid w:val="008D1E7F"/>
    <w:rsid w:val="008D2881"/>
    <w:rsid w:val="008D29F7"/>
    <w:rsid w:val="008D2A7D"/>
    <w:rsid w:val="008D2B7D"/>
    <w:rsid w:val="008D2D24"/>
    <w:rsid w:val="008D348D"/>
    <w:rsid w:val="008D3806"/>
    <w:rsid w:val="008D3F70"/>
    <w:rsid w:val="008D407B"/>
    <w:rsid w:val="008D4B4E"/>
    <w:rsid w:val="008D53CB"/>
    <w:rsid w:val="008D558B"/>
    <w:rsid w:val="008D5739"/>
    <w:rsid w:val="008D5D50"/>
    <w:rsid w:val="008D61C6"/>
    <w:rsid w:val="008D6CEE"/>
    <w:rsid w:val="008E051A"/>
    <w:rsid w:val="008E05B3"/>
    <w:rsid w:val="008E0899"/>
    <w:rsid w:val="008E0AAD"/>
    <w:rsid w:val="008E14C9"/>
    <w:rsid w:val="008E1714"/>
    <w:rsid w:val="008E1A05"/>
    <w:rsid w:val="008E1A5F"/>
    <w:rsid w:val="008E233A"/>
    <w:rsid w:val="008E2EFF"/>
    <w:rsid w:val="008E2F56"/>
    <w:rsid w:val="008E3652"/>
    <w:rsid w:val="008E3B77"/>
    <w:rsid w:val="008E3C92"/>
    <w:rsid w:val="008E3CC9"/>
    <w:rsid w:val="008E3D24"/>
    <w:rsid w:val="008E4978"/>
    <w:rsid w:val="008E4B5F"/>
    <w:rsid w:val="008E4BCA"/>
    <w:rsid w:val="008E4DF5"/>
    <w:rsid w:val="008E4F7E"/>
    <w:rsid w:val="008E5386"/>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859"/>
    <w:rsid w:val="008F6E4D"/>
    <w:rsid w:val="008F6F72"/>
    <w:rsid w:val="008F744E"/>
    <w:rsid w:val="008F7726"/>
    <w:rsid w:val="008F79B2"/>
    <w:rsid w:val="008F7DDE"/>
    <w:rsid w:val="008F7FD8"/>
    <w:rsid w:val="00900131"/>
    <w:rsid w:val="009006D6"/>
    <w:rsid w:val="00900ADE"/>
    <w:rsid w:val="00900C0C"/>
    <w:rsid w:val="00900E9A"/>
    <w:rsid w:val="00901562"/>
    <w:rsid w:val="009021E9"/>
    <w:rsid w:val="009022C6"/>
    <w:rsid w:val="009024DD"/>
    <w:rsid w:val="0090297E"/>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B28"/>
    <w:rsid w:val="00913EA4"/>
    <w:rsid w:val="00915910"/>
    <w:rsid w:val="009160C5"/>
    <w:rsid w:val="0091646A"/>
    <w:rsid w:val="00920056"/>
    <w:rsid w:val="009207FE"/>
    <w:rsid w:val="00921438"/>
    <w:rsid w:val="00922232"/>
    <w:rsid w:val="009223A8"/>
    <w:rsid w:val="00922885"/>
    <w:rsid w:val="00922905"/>
    <w:rsid w:val="00922CB8"/>
    <w:rsid w:val="009232A6"/>
    <w:rsid w:val="0092346E"/>
    <w:rsid w:val="0092351F"/>
    <w:rsid w:val="009238B7"/>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0D1E"/>
    <w:rsid w:val="00931B7E"/>
    <w:rsid w:val="00932457"/>
    <w:rsid w:val="00932545"/>
    <w:rsid w:val="00932715"/>
    <w:rsid w:val="0093292E"/>
    <w:rsid w:val="009337AC"/>
    <w:rsid w:val="0093393D"/>
    <w:rsid w:val="00933DB9"/>
    <w:rsid w:val="00933E8D"/>
    <w:rsid w:val="00934249"/>
    <w:rsid w:val="00934EA1"/>
    <w:rsid w:val="00934F00"/>
    <w:rsid w:val="009356DE"/>
    <w:rsid w:val="0093572F"/>
    <w:rsid w:val="00935A3E"/>
    <w:rsid w:val="00935BCF"/>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383"/>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0A7E"/>
    <w:rsid w:val="0096127E"/>
    <w:rsid w:val="00961EB2"/>
    <w:rsid w:val="009620C5"/>
    <w:rsid w:val="00962A5A"/>
    <w:rsid w:val="0096446E"/>
    <w:rsid w:val="00964840"/>
    <w:rsid w:val="00964BBF"/>
    <w:rsid w:val="00964E94"/>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A40"/>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C25"/>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208"/>
    <w:rsid w:val="009978B7"/>
    <w:rsid w:val="009979D5"/>
    <w:rsid w:val="009A083C"/>
    <w:rsid w:val="009A1236"/>
    <w:rsid w:val="009A144F"/>
    <w:rsid w:val="009A1F4F"/>
    <w:rsid w:val="009A2C7E"/>
    <w:rsid w:val="009A2DA7"/>
    <w:rsid w:val="009A2E1A"/>
    <w:rsid w:val="009A331D"/>
    <w:rsid w:val="009A370B"/>
    <w:rsid w:val="009A3D30"/>
    <w:rsid w:val="009A3D84"/>
    <w:rsid w:val="009A4449"/>
    <w:rsid w:val="009A46E0"/>
    <w:rsid w:val="009A4954"/>
    <w:rsid w:val="009A4B34"/>
    <w:rsid w:val="009A51CB"/>
    <w:rsid w:val="009A5206"/>
    <w:rsid w:val="009A5287"/>
    <w:rsid w:val="009A5A0E"/>
    <w:rsid w:val="009A5B03"/>
    <w:rsid w:val="009A62DE"/>
    <w:rsid w:val="009A63EF"/>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5D"/>
    <w:rsid w:val="009B3B6E"/>
    <w:rsid w:val="009B43B2"/>
    <w:rsid w:val="009B44AB"/>
    <w:rsid w:val="009B4BF9"/>
    <w:rsid w:val="009B4C39"/>
    <w:rsid w:val="009B5338"/>
    <w:rsid w:val="009B53BE"/>
    <w:rsid w:val="009B6AD3"/>
    <w:rsid w:val="009B6C35"/>
    <w:rsid w:val="009B71CC"/>
    <w:rsid w:val="009C00D2"/>
    <w:rsid w:val="009C016A"/>
    <w:rsid w:val="009C01E9"/>
    <w:rsid w:val="009C0365"/>
    <w:rsid w:val="009C058E"/>
    <w:rsid w:val="009C09EA"/>
    <w:rsid w:val="009C0B48"/>
    <w:rsid w:val="009C1135"/>
    <w:rsid w:val="009C16C9"/>
    <w:rsid w:val="009C2352"/>
    <w:rsid w:val="009C27D3"/>
    <w:rsid w:val="009C29BE"/>
    <w:rsid w:val="009C2D54"/>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49A"/>
    <w:rsid w:val="009D16FC"/>
    <w:rsid w:val="009D1828"/>
    <w:rsid w:val="009D1BC9"/>
    <w:rsid w:val="009D1D76"/>
    <w:rsid w:val="009D1ED1"/>
    <w:rsid w:val="009D21FE"/>
    <w:rsid w:val="009D246B"/>
    <w:rsid w:val="009D2787"/>
    <w:rsid w:val="009D2B29"/>
    <w:rsid w:val="009D316C"/>
    <w:rsid w:val="009D3335"/>
    <w:rsid w:val="009D3777"/>
    <w:rsid w:val="009D4706"/>
    <w:rsid w:val="009D5092"/>
    <w:rsid w:val="009D5A20"/>
    <w:rsid w:val="009D65EF"/>
    <w:rsid w:val="009D6926"/>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742"/>
    <w:rsid w:val="009F090D"/>
    <w:rsid w:val="009F0C6B"/>
    <w:rsid w:val="009F139F"/>
    <w:rsid w:val="009F1460"/>
    <w:rsid w:val="009F190F"/>
    <w:rsid w:val="009F2537"/>
    <w:rsid w:val="009F28C7"/>
    <w:rsid w:val="009F2F8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83F"/>
    <w:rsid w:val="00A1198A"/>
    <w:rsid w:val="00A120F3"/>
    <w:rsid w:val="00A1253D"/>
    <w:rsid w:val="00A12E40"/>
    <w:rsid w:val="00A13725"/>
    <w:rsid w:val="00A13BA1"/>
    <w:rsid w:val="00A14522"/>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82"/>
    <w:rsid w:val="00A253AD"/>
    <w:rsid w:val="00A2568B"/>
    <w:rsid w:val="00A26057"/>
    <w:rsid w:val="00A26235"/>
    <w:rsid w:val="00A26585"/>
    <w:rsid w:val="00A26694"/>
    <w:rsid w:val="00A27192"/>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412"/>
    <w:rsid w:val="00A455D9"/>
    <w:rsid w:val="00A455E4"/>
    <w:rsid w:val="00A45760"/>
    <w:rsid w:val="00A457D1"/>
    <w:rsid w:val="00A45F52"/>
    <w:rsid w:val="00A469F1"/>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3B08"/>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A17"/>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2FC9"/>
    <w:rsid w:val="00A8313C"/>
    <w:rsid w:val="00A84170"/>
    <w:rsid w:val="00A84C38"/>
    <w:rsid w:val="00A84FD0"/>
    <w:rsid w:val="00A85731"/>
    <w:rsid w:val="00A85E99"/>
    <w:rsid w:val="00A8604B"/>
    <w:rsid w:val="00A86607"/>
    <w:rsid w:val="00A8679F"/>
    <w:rsid w:val="00A86F0E"/>
    <w:rsid w:val="00A876E4"/>
    <w:rsid w:val="00A878F9"/>
    <w:rsid w:val="00A87D1B"/>
    <w:rsid w:val="00A90568"/>
    <w:rsid w:val="00A91763"/>
    <w:rsid w:val="00A9194C"/>
    <w:rsid w:val="00A91ADA"/>
    <w:rsid w:val="00A91D05"/>
    <w:rsid w:val="00A93280"/>
    <w:rsid w:val="00A934FE"/>
    <w:rsid w:val="00A935BE"/>
    <w:rsid w:val="00A936BC"/>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DDB"/>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172"/>
    <w:rsid w:val="00AB6BBD"/>
    <w:rsid w:val="00AB73FF"/>
    <w:rsid w:val="00AB77A7"/>
    <w:rsid w:val="00AB7D1B"/>
    <w:rsid w:val="00AB7FB8"/>
    <w:rsid w:val="00AC001C"/>
    <w:rsid w:val="00AC02FA"/>
    <w:rsid w:val="00AC133E"/>
    <w:rsid w:val="00AC1415"/>
    <w:rsid w:val="00AC1C83"/>
    <w:rsid w:val="00AC1DB1"/>
    <w:rsid w:val="00AC2338"/>
    <w:rsid w:val="00AC277F"/>
    <w:rsid w:val="00AC2F85"/>
    <w:rsid w:val="00AC3911"/>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B8B"/>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5A5"/>
    <w:rsid w:val="00AF3D25"/>
    <w:rsid w:val="00AF50FF"/>
    <w:rsid w:val="00AF533B"/>
    <w:rsid w:val="00AF584A"/>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3B"/>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76D"/>
    <w:rsid w:val="00B12E28"/>
    <w:rsid w:val="00B149D2"/>
    <w:rsid w:val="00B14AEA"/>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B39"/>
    <w:rsid w:val="00B22C00"/>
    <w:rsid w:val="00B230B7"/>
    <w:rsid w:val="00B23C36"/>
    <w:rsid w:val="00B2433C"/>
    <w:rsid w:val="00B2441E"/>
    <w:rsid w:val="00B246D4"/>
    <w:rsid w:val="00B263B3"/>
    <w:rsid w:val="00B26540"/>
    <w:rsid w:val="00B269AD"/>
    <w:rsid w:val="00B26D2C"/>
    <w:rsid w:val="00B26F9C"/>
    <w:rsid w:val="00B27393"/>
    <w:rsid w:val="00B307C0"/>
    <w:rsid w:val="00B30C90"/>
    <w:rsid w:val="00B31095"/>
    <w:rsid w:val="00B316A1"/>
    <w:rsid w:val="00B3211B"/>
    <w:rsid w:val="00B32D29"/>
    <w:rsid w:val="00B34B4D"/>
    <w:rsid w:val="00B34F72"/>
    <w:rsid w:val="00B357BA"/>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DF6"/>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079"/>
    <w:rsid w:val="00B66B79"/>
    <w:rsid w:val="00B66D5C"/>
    <w:rsid w:val="00B673B3"/>
    <w:rsid w:val="00B67462"/>
    <w:rsid w:val="00B67544"/>
    <w:rsid w:val="00B6778A"/>
    <w:rsid w:val="00B67D70"/>
    <w:rsid w:val="00B701CF"/>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E02"/>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596"/>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30A0"/>
    <w:rsid w:val="00BA4ED5"/>
    <w:rsid w:val="00BA5B65"/>
    <w:rsid w:val="00BA5B6C"/>
    <w:rsid w:val="00BA5C27"/>
    <w:rsid w:val="00BA64BE"/>
    <w:rsid w:val="00BA6E77"/>
    <w:rsid w:val="00BA7064"/>
    <w:rsid w:val="00BA77B4"/>
    <w:rsid w:val="00BA7B37"/>
    <w:rsid w:val="00BA7CD8"/>
    <w:rsid w:val="00BB097D"/>
    <w:rsid w:val="00BB1B2F"/>
    <w:rsid w:val="00BB1F66"/>
    <w:rsid w:val="00BB2BA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6B5"/>
    <w:rsid w:val="00BC17CA"/>
    <w:rsid w:val="00BC1B43"/>
    <w:rsid w:val="00BC2269"/>
    <w:rsid w:val="00BC230C"/>
    <w:rsid w:val="00BC272D"/>
    <w:rsid w:val="00BC298F"/>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136"/>
    <w:rsid w:val="00BD165F"/>
    <w:rsid w:val="00BD17E8"/>
    <w:rsid w:val="00BD1E9F"/>
    <w:rsid w:val="00BD1F3B"/>
    <w:rsid w:val="00BD3600"/>
    <w:rsid w:val="00BD388F"/>
    <w:rsid w:val="00BD47A8"/>
    <w:rsid w:val="00BD4E31"/>
    <w:rsid w:val="00BD6B2F"/>
    <w:rsid w:val="00BD76DA"/>
    <w:rsid w:val="00BD79BE"/>
    <w:rsid w:val="00BD7D0F"/>
    <w:rsid w:val="00BE00B2"/>
    <w:rsid w:val="00BE056B"/>
    <w:rsid w:val="00BE0B97"/>
    <w:rsid w:val="00BE0D93"/>
    <w:rsid w:val="00BE174A"/>
    <w:rsid w:val="00BE268B"/>
    <w:rsid w:val="00BE2975"/>
    <w:rsid w:val="00BE3035"/>
    <w:rsid w:val="00BE3E9B"/>
    <w:rsid w:val="00BE489A"/>
    <w:rsid w:val="00BE584B"/>
    <w:rsid w:val="00BE5933"/>
    <w:rsid w:val="00BE5E33"/>
    <w:rsid w:val="00BE68A7"/>
    <w:rsid w:val="00BE6DD1"/>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92D"/>
    <w:rsid w:val="00C02F28"/>
    <w:rsid w:val="00C03A39"/>
    <w:rsid w:val="00C03FCA"/>
    <w:rsid w:val="00C05C9F"/>
    <w:rsid w:val="00C05FA2"/>
    <w:rsid w:val="00C0612E"/>
    <w:rsid w:val="00C06464"/>
    <w:rsid w:val="00C067F3"/>
    <w:rsid w:val="00C06B22"/>
    <w:rsid w:val="00C06B3A"/>
    <w:rsid w:val="00C06BE8"/>
    <w:rsid w:val="00C06D90"/>
    <w:rsid w:val="00C06F89"/>
    <w:rsid w:val="00C07796"/>
    <w:rsid w:val="00C07E61"/>
    <w:rsid w:val="00C10CC0"/>
    <w:rsid w:val="00C114FB"/>
    <w:rsid w:val="00C11D18"/>
    <w:rsid w:val="00C1207C"/>
    <w:rsid w:val="00C1276D"/>
    <w:rsid w:val="00C12DF5"/>
    <w:rsid w:val="00C1326F"/>
    <w:rsid w:val="00C134A4"/>
    <w:rsid w:val="00C14C71"/>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70"/>
    <w:rsid w:val="00C261D3"/>
    <w:rsid w:val="00C2623D"/>
    <w:rsid w:val="00C263F1"/>
    <w:rsid w:val="00C26F31"/>
    <w:rsid w:val="00C27679"/>
    <w:rsid w:val="00C276D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C9D"/>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B90"/>
    <w:rsid w:val="00C56C4F"/>
    <w:rsid w:val="00C57817"/>
    <w:rsid w:val="00C57A78"/>
    <w:rsid w:val="00C6084A"/>
    <w:rsid w:val="00C60970"/>
    <w:rsid w:val="00C60C7E"/>
    <w:rsid w:val="00C61945"/>
    <w:rsid w:val="00C6207A"/>
    <w:rsid w:val="00C624EE"/>
    <w:rsid w:val="00C62C3A"/>
    <w:rsid w:val="00C62CE3"/>
    <w:rsid w:val="00C631B2"/>
    <w:rsid w:val="00C632AB"/>
    <w:rsid w:val="00C63AFE"/>
    <w:rsid w:val="00C63CA0"/>
    <w:rsid w:val="00C648F9"/>
    <w:rsid w:val="00C64A4E"/>
    <w:rsid w:val="00C64DF6"/>
    <w:rsid w:val="00C659B5"/>
    <w:rsid w:val="00C65EF5"/>
    <w:rsid w:val="00C65F8D"/>
    <w:rsid w:val="00C66842"/>
    <w:rsid w:val="00C67963"/>
    <w:rsid w:val="00C67B2C"/>
    <w:rsid w:val="00C67C64"/>
    <w:rsid w:val="00C70867"/>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02C"/>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058"/>
    <w:rsid w:val="00C84519"/>
    <w:rsid w:val="00C847FA"/>
    <w:rsid w:val="00C84FED"/>
    <w:rsid w:val="00C8647A"/>
    <w:rsid w:val="00C86516"/>
    <w:rsid w:val="00C86B61"/>
    <w:rsid w:val="00C871F9"/>
    <w:rsid w:val="00C87581"/>
    <w:rsid w:val="00C8777C"/>
    <w:rsid w:val="00C87F21"/>
    <w:rsid w:val="00C87F39"/>
    <w:rsid w:val="00C900A1"/>
    <w:rsid w:val="00C90167"/>
    <w:rsid w:val="00C9067B"/>
    <w:rsid w:val="00C90987"/>
    <w:rsid w:val="00C916E2"/>
    <w:rsid w:val="00C91A42"/>
    <w:rsid w:val="00C924BB"/>
    <w:rsid w:val="00C926CD"/>
    <w:rsid w:val="00C92A1F"/>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781"/>
    <w:rsid w:val="00CA7B39"/>
    <w:rsid w:val="00CB0362"/>
    <w:rsid w:val="00CB0743"/>
    <w:rsid w:val="00CB0A9E"/>
    <w:rsid w:val="00CB0DE0"/>
    <w:rsid w:val="00CB12E7"/>
    <w:rsid w:val="00CB1493"/>
    <w:rsid w:val="00CB163A"/>
    <w:rsid w:val="00CB1761"/>
    <w:rsid w:val="00CB1891"/>
    <w:rsid w:val="00CB2D6A"/>
    <w:rsid w:val="00CB2F0A"/>
    <w:rsid w:val="00CB3CB4"/>
    <w:rsid w:val="00CB3F22"/>
    <w:rsid w:val="00CB4ABF"/>
    <w:rsid w:val="00CB55FF"/>
    <w:rsid w:val="00CB5926"/>
    <w:rsid w:val="00CB6E35"/>
    <w:rsid w:val="00CC0170"/>
    <w:rsid w:val="00CC02F2"/>
    <w:rsid w:val="00CC065F"/>
    <w:rsid w:val="00CC10FF"/>
    <w:rsid w:val="00CC1413"/>
    <w:rsid w:val="00CC1573"/>
    <w:rsid w:val="00CC1B2D"/>
    <w:rsid w:val="00CC2086"/>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0A5"/>
    <w:rsid w:val="00CD4A96"/>
    <w:rsid w:val="00CD51BB"/>
    <w:rsid w:val="00CD6538"/>
    <w:rsid w:val="00CD73C1"/>
    <w:rsid w:val="00CD7E51"/>
    <w:rsid w:val="00CD7E93"/>
    <w:rsid w:val="00CD7ED1"/>
    <w:rsid w:val="00CD7FF2"/>
    <w:rsid w:val="00CE0671"/>
    <w:rsid w:val="00CE0AEB"/>
    <w:rsid w:val="00CE0C94"/>
    <w:rsid w:val="00CE0D01"/>
    <w:rsid w:val="00CE0D4A"/>
    <w:rsid w:val="00CE156E"/>
    <w:rsid w:val="00CE18AC"/>
    <w:rsid w:val="00CE1ED6"/>
    <w:rsid w:val="00CE23A4"/>
    <w:rsid w:val="00CE24A5"/>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01C"/>
    <w:rsid w:val="00CF4175"/>
    <w:rsid w:val="00CF4245"/>
    <w:rsid w:val="00CF45DD"/>
    <w:rsid w:val="00CF4D45"/>
    <w:rsid w:val="00CF54B4"/>
    <w:rsid w:val="00CF58FE"/>
    <w:rsid w:val="00CF5A5C"/>
    <w:rsid w:val="00CF5D42"/>
    <w:rsid w:val="00CF5DCC"/>
    <w:rsid w:val="00CF5F17"/>
    <w:rsid w:val="00CF6198"/>
    <w:rsid w:val="00CF6286"/>
    <w:rsid w:val="00CF62B7"/>
    <w:rsid w:val="00CF6A35"/>
    <w:rsid w:val="00CF6A86"/>
    <w:rsid w:val="00CF7BB2"/>
    <w:rsid w:val="00CF7DA3"/>
    <w:rsid w:val="00D009C0"/>
    <w:rsid w:val="00D00C44"/>
    <w:rsid w:val="00D00FD6"/>
    <w:rsid w:val="00D01FA6"/>
    <w:rsid w:val="00D0206E"/>
    <w:rsid w:val="00D0210F"/>
    <w:rsid w:val="00D02608"/>
    <w:rsid w:val="00D02C69"/>
    <w:rsid w:val="00D02D95"/>
    <w:rsid w:val="00D02F55"/>
    <w:rsid w:val="00D0304D"/>
    <w:rsid w:val="00D03FC6"/>
    <w:rsid w:val="00D04112"/>
    <w:rsid w:val="00D049BD"/>
    <w:rsid w:val="00D05169"/>
    <w:rsid w:val="00D053E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2C2B"/>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75"/>
    <w:rsid w:val="00D2618B"/>
    <w:rsid w:val="00D2641C"/>
    <w:rsid w:val="00D26D11"/>
    <w:rsid w:val="00D26E53"/>
    <w:rsid w:val="00D271E5"/>
    <w:rsid w:val="00D272B2"/>
    <w:rsid w:val="00D27319"/>
    <w:rsid w:val="00D30018"/>
    <w:rsid w:val="00D30268"/>
    <w:rsid w:val="00D30F2D"/>
    <w:rsid w:val="00D32450"/>
    <w:rsid w:val="00D3295B"/>
    <w:rsid w:val="00D33055"/>
    <w:rsid w:val="00D3329C"/>
    <w:rsid w:val="00D33363"/>
    <w:rsid w:val="00D333B0"/>
    <w:rsid w:val="00D33449"/>
    <w:rsid w:val="00D3449D"/>
    <w:rsid w:val="00D345BA"/>
    <w:rsid w:val="00D345C3"/>
    <w:rsid w:val="00D3463A"/>
    <w:rsid w:val="00D35955"/>
    <w:rsid w:val="00D35985"/>
    <w:rsid w:val="00D35BC8"/>
    <w:rsid w:val="00D3669C"/>
    <w:rsid w:val="00D402CC"/>
    <w:rsid w:val="00D407E4"/>
    <w:rsid w:val="00D409EB"/>
    <w:rsid w:val="00D40A74"/>
    <w:rsid w:val="00D40B6C"/>
    <w:rsid w:val="00D40CC2"/>
    <w:rsid w:val="00D40D70"/>
    <w:rsid w:val="00D40EAF"/>
    <w:rsid w:val="00D41724"/>
    <w:rsid w:val="00D42208"/>
    <w:rsid w:val="00D42BBE"/>
    <w:rsid w:val="00D43652"/>
    <w:rsid w:val="00D437EF"/>
    <w:rsid w:val="00D43D10"/>
    <w:rsid w:val="00D45815"/>
    <w:rsid w:val="00D45E0D"/>
    <w:rsid w:val="00D45FE2"/>
    <w:rsid w:val="00D46134"/>
    <w:rsid w:val="00D46335"/>
    <w:rsid w:val="00D4671B"/>
    <w:rsid w:val="00D468AA"/>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3D96"/>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7B91"/>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4E4"/>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14"/>
    <w:rsid w:val="00D94B21"/>
    <w:rsid w:val="00D94D40"/>
    <w:rsid w:val="00D94FFF"/>
    <w:rsid w:val="00D9562C"/>
    <w:rsid w:val="00D95ACE"/>
    <w:rsid w:val="00D95BF2"/>
    <w:rsid w:val="00D95EA5"/>
    <w:rsid w:val="00D95EDF"/>
    <w:rsid w:val="00D96583"/>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03A"/>
    <w:rsid w:val="00DA5132"/>
    <w:rsid w:val="00DA52E4"/>
    <w:rsid w:val="00DA576A"/>
    <w:rsid w:val="00DA589A"/>
    <w:rsid w:val="00DA5BD5"/>
    <w:rsid w:val="00DA5EFA"/>
    <w:rsid w:val="00DA6204"/>
    <w:rsid w:val="00DA6B1C"/>
    <w:rsid w:val="00DA7044"/>
    <w:rsid w:val="00DA78AD"/>
    <w:rsid w:val="00DA797F"/>
    <w:rsid w:val="00DA7C57"/>
    <w:rsid w:val="00DB02F7"/>
    <w:rsid w:val="00DB0A26"/>
    <w:rsid w:val="00DB0B10"/>
    <w:rsid w:val="00DB0EEF"/>
    <w:rsid w:val="00DB1CCB"/>
    <w:rsid w:val="00DB226E"/>
    <w:rsid w:val="00DB25B6"/>
    <w:rsid w:val="00DB2660"/>
    <w:rsid w:val="00DB2A3E"/>
    <w:rsid w:val="00DB2EDD"/>
    <w:rsid w:val="00DB3C19"/>
    <w:rsid w:val="00DB3D1C"/>
    <w:rsid w:val="00DB3D80"/>
    <w:rsid w:val="00DB41F2"/>
    <w:rsid w:val="00DB4575"/>
    <w:rsid w:val="00DB4619"/>
    <w:rsid w:val="00DB4949"/>
    <w:rsid w:val="00DB5046"/>
    <w:rsid w:val="00DB506A"/>
    <w:rsid w:val="00DB5112"/>
    <w:rsid w:val="00DB534F"/>
    <w:rsid w:val="00DB63E7"/>
    <w:rsid w:val="00DB675D"/>
    <w:rsid w:val="00DB7D08"/>
    <w:rsid w:val="00DC08E1"/>
    <w:rsid w:val="00DC13B6"/>
    <w:rsid w:val="00DC1556"/>
    <w:rsid w:val="00DC1FAB"/>
    <w:rsid w:val="00DC2841"/>
    <w:rsid w:val="00DC2A24"/>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0D0F"/>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37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125"/>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356"/>
    <w:rsid w:val="00E1378A"/>
    <w:rsid w:val="00E1384D"/>
    <w:rsid w:val="00E13A68"/>
    <w:rsid w:val="00E13E43"/>
    <w:rsid w:val="00E13EED"/>
    <w:rsid w:val="00E142A3"/>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6651"/>
    <w:rsid w:val="00E27914"/>
    <w:rsid w:val="00E279C6"/>
    <w:rsid w:val="00E30E5E"/>
    <w:rsid w:val="00E31391"/>
    <w:rsid w:val="00E31516"/>
    <w:rsid w:val="00E316D8"/>
    <w:rsid w:val="00E31C2B"/>
    <w:rsid w:val="00E31F77"/>
    <w:rsid w:val="00E320EE"/>
    <w:rsid w:val="00E32E84"/>
    <w:rsid w:val="00E32FB1"/>
    <w:rsid w:val="00E33E05"/>
    <w:rsid w:val="00E33E6A"/>
    <w:rsid w:val="00E35061"/>
    <w:rsid w:val="00E3521F"/>
    <w:rsid w:val="00E35BAD"/>
    <w:rsid w:val="00E35D01"/>
    <w:rsid w:val="00E36130"/>
    <w:rsid w:val="00E36A79"/>
    <w:rsid w:val="00E36C40"/>
    <w:rsid w:val="00E37D35"/>
    <w:rsid w:val="00E40750"/>
    <w:rsid w:val="00E41993"/>
    <w:rsid w:val="00E41CE6"/>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AE1"/>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461"/>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E62"/>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57A"/>
    <w:rsid w:val="00E85926"/>
    <w:rsid w:val="00E85C51"/>
    <w:rsid w:val="00E8627F"/>
    <w:rsid w:val="00E86502"/>
    <w:rsid w:val="00E870C7"/>
    <w:rsid w:val="00E879DA"/>
    <w:rsid w:val="00E87AC4"/>
    <w:rsid w:val="00E87D30"/>
    <w:rsid w:val="00E900BD"/>
    <w:rsid w:val="00E909D6"/>
    <w:rsid w:val="00E91353"/>
    <w:rsid w:val="00E915C8"/>
    <w:rsid w:val="00E91D85"/>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76A"/>
    <w:rsid w:val="00EB149F"/>
    <w:rsid w:val="00EB15A2"/>
    <w:rsid w:val="00EB17E4"/>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7EC"/>
    <w:rsid w:val="00EC1974"/>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24F"/>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DF9"/>
    <w:rsid w:val="00EE0F73"/>
    <w:rsid w:val="00EE11D2"/>
    <w:rsid w:val="00EE13EC"/>
    <w:rsid w:val="00EE1449"/>
    <w:rsid w:val="00EE1697"/>
    <w:rsid w:val="00EE1BF3"/>
    <w:rsid w:val="00EE2627"/>
    <w:rsid w:val="00EE300D"/>
    <w:rsid w:val="00EE3456"/>
    <w:rsid w:val="00EE3842"/>
    <w:rsid w:val="00EE47B3"/>
    <w:rsid w:val="00EE4D70"/>
    <w:rsid w:val="00EE4FF5"/>
    <w:rsid w:val="00EE521D"/>
    <w:rsid w:val="00EE59CC"/>
    <w:rsid w:val="00EE6450"/>
    <w:rsid w:val="00EE64AC"/>
    <w:rsid w:val="00EE6632"/>
    <w:rsid w:val="00EE75D4"/>
    <w:rsid w:val="00EE790D"/>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1D17"/>
    <w:rsid w:val="00F02520"/>
    <w:rsid w:val="00F03016"/>
    <w:rsid w:val="00F035E7"/>
    <w:rsid w:val="00F048AE"/>
    <w:rsid w:val="00F04EF2"/>
    <w:rsid w:val="00F05631"/>
    <w:rsid w:val="00F05929"/>
    <w:rsid w:val="00F05C2C"/>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484"/>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7E7"/>
    <w:rsid w:val="00F20D23"/>
    <w:rsid w:val="00F212BC"/>
    <w:rsid w:val="00F21701"/>
    <w:rsid w:val="00F220F0"/>
    <w:rsid w:val="00F224BE"/>
    <w:rsid w:val="00F224DF"/>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24D"/>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7F7"/>
    <w:rsid w:val="00F508DD"/>
    <w:rsid w:val="00F50BD3"/>
    <w:rsid w:val="00F50CC1"/>
    <w:rsid w:val="00F51B4B"/>
    <w:rsid w:val="00F5238B"/>
    <w:rsid w:val="00F52808"/>
    <w:rsid w:val="00F53AB5"/>
    <w:rsid w:val="00F53EAF"/>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CAB"/>
    <w:rsid w:val="00F97FBB"/>
    <w:rsid w:val="00FA0BE2"/>
    <w:rsid w:val="00FA10C8"/>
    <w:rsid w:val="00FA1AD8"/>
    <w:rsid w:val="00FA1DF7"/>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4AF"/>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75A"/>
    <w:rsid w:val="00FD6A00"/>
    <w:rsid w:val="00FD6AD9"/>
    <w:rsid w:val="00FD6F7E"/>
    <w:rsid w:val="00FD6FF2"/>
    <w:rsid w:val="00FD7017"/>
    <w:rsid w:val="00FD7088"/>
    <w:rsid w:val="00FD7C8D"/>
    <w:rsid w:val="00FD7FA7"/>
    <w:rsid w:val="00FE0304"/>
    <w:rsid w:val="00FE155C"/>
    <w:rsid w:val="00FE158A"/>
    <w:rsid w:val="00FE19EE"/>
    <w:rsid w:val="00FE19F9"/>
    <w:rsid w:val="00FE21C1"/>
    <w:rsid w:val="00FE28E4"/>
    <w:rsid w:val="00FE2D0D"/>
    <w:rsid w:val="00FE2F05"/>
    <w:rsid w:val="00FE3363"/>
    <w:rsid w:val="00FE34F4"/>
    <w:rsid w:val="00FE43D2"/>
    <w:rsid w:val="00FE44D7"/>
    <w:rsid w:val="00FE4707"/>
    <w:rsid w:val="00FE4BA0"/>
    <w:rsid w:val="00FE5915"/>
    <w:rsid w:val="00FE67E3"/>
    <w:rsid w:val="00FE6A61"/>
    <w:rsid w:val="00FE7768"/>
    <w:rsid w:val="00FE7D60"/>
    <w:rsid w:val="00FE7FB1"/>
    <w:rsid w:val="00FF002A"/>
    <w:rsid w:val="00FF01B7"/>
    <w:rsid w:val="00FF0356"/>
    <w:rsid w:val="00FF09C3"/>
    <w:rsid w:val="00FF0B8C"/>
    <w:rsid w:val="00FF0BA9"/>
    <w:rsid w:val="00FF0CC1"/>
    <w:rsid w:val="00FF0E0E"/>
    <w:rsid w:val="00FF1407"/>
    <w:rsid w:val="00FF1863"/>
    <w:rsid w:val="00FF2E49"/>
    <w:rsid w:val="00FF3963"/>
    <w:rsid w:val="00FF3986"/>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7B"/>
    <w:rsid w:val="00FF6E87"/>
    <w:rsid w:val="00FF6FE9"/>
    <w:rsid w:val="00FF702B"/>
    <w:rsid w:val="00FF707D"/>
    <w:rsid w:val="00FF737E"/>
    <w:rsid w:val="00FF7803"/>
    <w:rsid w:val="00FF7D96"/>
    <w:rsid w:val="032F7FE5"/>
    <w:rsid w:val="03A033F4"/>
    <w:rsid w:val="03BFC2F1"/>
    <w:rsid w:val="04485FF4"/>
    <w:rsid w:val="07ADE137"/>
    <w:rsid w:val="0CFE3C6E"/>
    <w:rsid w:val="13886CC6"/>
    <w:rsid w:val="1D20747B"/>
    <w:rsid w:val="1DF1945C"/>
    <w:rsid w:val="25D3EED5"/>
    <w:rsid w:val="25DCDEFA"/>
    <w:rsid w:val="30D999B7"/>
    <w:rsid w:val="3355F529"/>
    <w:rsid w:val="34273D4B"/>
    <w:rsid w:val="3561CFC4"/>
    <w:rsid w:val="36366975"/>
    <w:rsid w:val="378AC1C9"/>
    <w:rsid w:val="37D506E5"/>
    <w:rsid w:val="37F8931A"/>
    <w:rsid w:val="38120270"/>
    <w:rsid w:val="3D8BD298"/>
    <w:rsid w:val="4263111D"/>
    <w:rsid w:val="4AF17CAE"/>
    <w:rsid w:val="4E6D5ACA"/>
    <w:rsid w:val="4F5375BF"/>
    <w:rsid w:val="52563FBE"/>
    <w:rsid w:val="53F3C855"/>
    <w:rsid w:val="54E83A4B"/>
    <w:rsid w:val="57DBA3CA"/>
    <w:rsid w:val="59EF117A"/>
    <w:rsid w:val="5B04247B"/>
    <w:rsid w:val="5E1BA744"/>
    <w:rsid w:val="646EB1A6"/>
    <w:rsid w:val="6EFE8910"/>
    <w:rsid w:val="700E58C2"/>
    <w:rsid w:val="708BB886"/>
    <w:rsid w:val="7419AA31"/>
    <w:rsid w:val="7C3C715F"/>
    <w:rsid w:val="7CBEE62E"/>
    <w:rsid w:val="7FFAFC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B8F6748B-7568-49CC-8B0B-A103FD53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E2F3FA" w:themeFill="accent1" w:themeFillTint="33"/>
    </w:tcPr>
    <w:tblStylePr w:type="firstRow">
      <w:rPr>
        <w:b/>
        <w:bCs/>
      </w:rPr>
      <w:tblPr/>
      <w:tcPr>
        <w:shd w:val="clear" w:color="auto" w:fill="C6E7F5" w:themeFill="accent1" w:themeFillTint="66"/>
      </w:tcPr>
    </w:tblStylePr>
    <w:tblStylePr w:type="lastRow">
      <w:rPr>
        <w:b/>
        <w:bCs/>
        <w:color w:val="232222" w:themeColor="text1"/>
      </w:rPr>
      <w:tblPr/>
      <w:tcPr>
        <w:shd w:val="clear" w:color="auto" w:fill="C6E7F5" w:themeFill="accent1" w:themeFillTint="66"/>
      </w:tcPr>
    </w:tblStylePr>
    <w:tblStylePr w:type="firstCol">
      <w:rPr>
        <w:color w:val="FFFFFF" w:themeColor="background1"/>
      </w:rPr>
      <w:tblPr/>
      <w:tcPr>
        <w:shd w:val="clear" w:color="auto" w:fill="26A6DC" w:themeFill="accent1" w:themeFillShade="BF"/>
      </w:tcPr>
    </w:tblStylePr>
    <w:tblStylePr w:type="lastCol">
      <w:rPr>
        <w:color w:val="FFFFFF" w:themeColor="background1"/>
      </w:rPr>
      <w:tblPr/>
      <w:tcPr>
        <w:shd w:val="clear" w:color="auto" w:fill="26A6DC" w:themeFill="accent1" w:themeFillShade="BF"/>
      </w:tcPr>
    </w:tblStylePr>
    <w:tblStylePr w:type="band1Vert">
      <w:tblPr/>
      <w:tcPr>
        <w:shd w:val="clear" w:color="auto" w:fill="B8E2F3" w:themeFill="accent1" w:themeFillTint="7F"/>
      </w:tcPr>
    </w:tblStylePr>
    <w:tblStylePr w:type="band1Horz">
      <w:tblPr/>
      <w:tcPr>
        <w:shd w:val="clear" w:color="auto" w:fill="B8E2F3"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4F6CD" w:themeFill="accent2" w:themeFillTint="33"/>
    </w:tcPr>
    <w:tblStylePr w:type="firstRow">
      <w:rPr>
        <w:b/>
        <w:bCs/>
      </w:rPr>
      <w:tblPr/>
      <w:tcPr>
        <w:shd w:val="clear" w:color="auto" w:fill="CAEE9C" w:themeFill="accent2" w:themeFillTint="66"/>
      </w:tcPr>
    </w:tblStylePr>
    <w:tblStylePr w:type="lastRow">
      <w:rPr>
        <w:b/>
        <w:bCs/>
        <w:color w:val="232222" w:themeColor="text1"/>
      </w:rPr>
      <w:tblPr/>
      <w:tcPr>
        <w:shd w:val="clear" w:color="auto" w:fill="CAEE9C" w:themeFill="accent2" w:themeFillTint="66"/>
      </w:tcPr>
    </w:tblStylePr>
    <w:tblStylePr w:type="firstCol">
      <w:rPr>
        <w:color w:val="FFFFFF" w:themeColor="background1"/>
      </w:rPr>
      <w:tblPr/>
      <w:tcPr>
        <w:shd w:val="clear" w:color="auto" w:fill="598E18" w:themeFill="accent2" w:themeFillShade="BF"/>
      </w:tcPr>
    </w:tblStylePr>
    <w:tblStylePr w:type="lastCol">
      <w:rPr>
        <w:color w:val="FFFFFF" w:themeColor="background1"/>
      </w:rPr>
      <w:tblPr/>
      <w:tcPr>
        <w:shd w:val="clear" w:color="auto" w:fill="598E18" w:themeFill="accent2" w:themeFillShade="BF"/>
      </w:tcPr>
    </w:tblStylePr>
    <w:tblStylePr w:type="band1Vert">
      <w:tblPr/>
      <w:tcPr>
        <w:shd w:val="clear" w:color="auto" w:fill="BCEA84" w:themeFill="accent2" w:themeFillTint="7F"/>
      </w:tcPr>
    </w:tblStylePr>
    <w:tblStylePr w:type="band1Horz">
      <w:tblPr/>
      <w:tcPr>
        <w:shd w:val="clear" w:color="auto" w:fill="BCEA84"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DF7FC" w:themeFill="accent5" w:themeFillTint="33"/>
    </w:tcPr>
    <w:tblStylePr w:type="firstRow">
      <w:rPr>
        <w:b/>
        <w:bCs/>
      </w:rPr>
      <w:tblPr/>
      <w:tcPr>
        <w:shd w:val="clear" w:color="auto" w:fill="DCF0F9" w:themeFill="accent5" w:themeFillTint="66"/>
      </w:tcPr>
    </w:tblStylePr>
    <w:tblStylePr w:type="lastRow">
      <w:rPr>
        <w:b/>
        <w:bCs/>
        <w:color w:val="232222" w:themeColor="text1"/>
      </w:rPr>
      <w:tblPr/>
      <w:tcPr>
        <w:shd w:val="clear" w:color="auto" w:fill="DCF0F9" w:themeFill="accent5" w:themeFillTint="66"/>
      </w:tcPr>
    </w:tblStylePr>
    <w:tblStylePr w:type="firstCol">
      <w:rPr>
        <w:color w:val="FFFFFF" w:themeColor="background1"/>
      </w:rPr>
      <w:tblPr/>
      <w:tcPr>
        <w:shd w:val="clear" w:color="auto" w:fill="51B7E2" w:themeFill="accent5" w:themeFillShade="BF"/>
      </w:tcPr>
    </w:tblStylePr>
    <w:tblStylePr w:type="lastCol">
      <w:rPr>
        <w:color w:val="FFFFFF" w:themeColor="background1"/>
      </w:rPr>
      <w:tblPr/>
      <w:tcPr>
        <w:shd w:val="clear" w:color="auto" w:fill="51B7E2" w:themeFill="accent5" w:themeFillShade="BF"/>
      </w:tcPr>
    </w:tblStylePr>
    <w:tblStylePr w:type="band1Vert">
      <w:tblPr/>
      <w:tcPr>
        <w:shd w:val="clear" w:color="auto" w:fill="D4EDF8" w:themeFill="accent5" w:themeFillTint="7F"/>
      </w:tcPr>
    </w:tblStylePr>
    <w:tblStylePr w:type="band1Horz">
      <w:tblPr/>
      <w:tcPr>
        <w:shd w:val="clear" w:color="auto" w:fill="D4EDF8"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EEF7E4" w:themeFill="accent6" w:themeFillTint="33"/>
    </w:tcPr>
    <w:tblStylePr w:type="firstRow">
      <w:rPr>
        <w:b/>
        <w:bCs/>
      </w:rPr>
      <w:tblPr/>
      <w:tcPr>
        <w:shd w:val="clear" w:color="auto" w:fill="DEEFC9" w:themeFill="accent6" w:themeFillTint="66"/>
      </w:tcPr>
    </w:tblStylePr>
    <w:tblStylePr w:type="lastRow">
      <w:rPr>
        <w:b/>
        <w:bCs/>
        <w:color w:val="232222" w:themeColor="text1"/>
      </w:rPr>
      <w:tblPr/>
      <w:tcPr>
        <w:shd w:val="clear" w:color="auto" w:fill="DEEFC9" w:themeFill="accent6" w:themeFillTint="66"/>
      </w:tcPr>
    </w:tblStylePr>
    <w:tblStylePr w:type="firstCol">
      <w:rPr>
        <w:color w:val="FFFFFF" w:themeColor="background1"/>
      </w:rPr>
      <w:tblPr/>
      <w:tcPr>
        <w:shd w:val="clear" w:color="auto" w:fill="86C339" w:themeFill="accent6" w:themeFillShade="BF"/>
      </w:tcPr>
    </w:tblStylePr>
    <w:tblStylePr w:type="lastCol">
      <w:rPr>
        <w:color w:val="FFFFFF" w:themeColor="background1"/>
      </w:rPr>
      <w:tblPr/>
      <w:tcPr>
        <w:shd w:val="clear" w:color="auto" w:fill="86C339" w:themeFill="accent6" w:themeFillShade="BF"/>
      </w:tcPr>
    </w:tblStylePr>
    <w:tblStylePr w:type="band1Vert">
      <w:tblPr/>
      <w:tcPr>
        <w:shd w:val="clear" w:color="auto" w:fill="D6EBBC" w:themeFill="accent6" w:themeFillTint="7F"/>
      </w:tcPr>
    </w:tblStylePr>
    <w:tblStylePr w:type="band1Horz">
      <w:tblPr/>
      <w:tcPr>
        <w:shd w:val="clear" w:color="auto" w:fill="D6EBBC"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0F9FC" w:themeFill="accent1"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0F9" w:themeFill="accent1" w:themeFillTint="3F"/>
      </w:tcPr>
    </w:tblStylePr>
    <w:tblStylePr w:type="band1Horz">
      <w:tblPr/>
      <w:tcPr>
        <w:shd w:val="clear" w:color="auto" w:fill="E2F3FA"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1FBE6" w:themeFill="accent2" w:themeFillTint="19"/>
    </w:tcPr>
    <w:tblStylePr w:type="firstRow">
      <w:rPr>
        <w:b/>
        <w:bCs/>
        <w:color w:val="FFFFFF" w:themeColor="background1"/>
      </w:rPr>
      <w:tblPr/>
      <w:tcPr>
        <w:tcBorders>
          <w:bottom w:val="single" w:sz="12" w:space="0" w:color="FFFFFF" w:themeColor="background1"/>
        </w:tcBorders>
        <w:shd w:val="clear" w:color="auto" w:fill="5F9719" w:themeFill="accent2" w:themeFillShade="CC"/>
      </w:tcPr>
    </w:tblStylePr>
    <w:tblStylePr w:type="lastRow">
      <w:rPr>
        <w:b/>
        <w:bCs/>
        <w:color w:val="5F9719"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4C1" w:themeFill="accent2" w:themeFillTint="3F"/>
      </w:tcPr>
    </w:tblStylePr>
    <w:tblStylePr w:type="band1Horz">
      <w:tblPr/>
      <w:tcPr>
        <w:shd w:val="clear" w:color="auto" w:fill="E4F6CD"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F6FBFD" w:themeFill="accent5" w:themeFillTint="19"/>
    </w:tcPr>
    <w:tblStylePr w:type="firstRow">
      <w:rPr>
        <w:b/>
        <w:bCs/>
        <w:color w:val="FFFFFF" w:themeColor="background1"/>
      </w:rPr>
      <w:tblPr/>
      <w:tcPr>
        <w:tcBorders>
          <w:bottom w:val="single" w:sz="12" w:space="0" w:color="FFFFFF" w:themeColor="background1"/>
        </w:tcBorders>
        <w:shd w:val="clear" w:color="auto" w:fill="8EC844" w:themeFill="accent6" w:themeFillShade="CC"/>
      </w:tcPr>
    </w:tblStylePr>
    <w:tblStylePr w:type="lastRow">
      <w:rPr>
        <w:b/>
        <w:bCs/>
        <w:color w:val="8EC844"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6FB" w:themeFill="accent5" w:themeFillTint="3F"/>
      </w:tcPr>
    </w:tblStylePr>
    <w:tblStylePr w:type="band1Horz">
      <w:tblPr/>
      <w:tcPr>
        <w:shd w:val="clear" w:color="auto" w:fill="EDF7FC"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BF1" w:themeFill="accent6" w:themeFillTint="19"/>
    </w:tcPr>
    <w:tblStylePr w:type="firstRow">
      <w:rPr>
        <w:b/>
        <w:bCs/>
        <w:color w:val="FFFFFF" w:themeColor="background1"/>
      </w:rPr>
      <w:tblPr/>
      <w:tcPr>
        <w:tcBorders>
          <w:bottom w:val="single" w:sz="12" w:space="0" w:color="FFFFFF" w:themeColor="background1"/>
        </w:tcBorders>
        <w:shd w:val="clear" w:color="auto" w:fill="63BEE5" w:themeFill="accent5" w:themeFillShade="CC"/>
      </w:tcPr>
    </w:tblStylePr>
    <w:tblStylePr w:type="lastRow">
      <w:rPr>
        <w:b/>
        <w:bCs/>
        <w:color w:val="63BEE5"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5DD" w:themeFill="accent6" w:themeFillTint="3F"/>
      </w:tcPr>
    </w:tblStylePr>
    <w:tblStylePr w:type="band1Horz">
      <w:tblPr/>
      <w:tcPr>
        <w:shd w:val="clear" w:color="auto" w:fill="EEF7E4"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78BE20"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78BE20" w:themeColor="accent2"/>
        <w:left w:val="single" w:sz="4" w:space="0" w:color="71C5E8" w:themeColor="accent1"/>
        <w:bottom w:val="single" w:sz="4" w:space="0" w:color="71C5E8" w:themeColor="accent1"/>
        <w:right w:val="single" w:sz="4" w:space="0" w:color="71C5E8" w:themeColor="accent1"/>
        <w:insideH w:val="single" w:sz="4" w:space="0" w:color="FFFFFF" w:themeColor="background1"/>
        <w:insideV w:val="single" w:sz="4" w:space="0" w:color="FFFFFF" w:themeColor="background1"/>
      </w:tblBorders>
    </w:tblPr>
    <w:tcPr>
      <w:shd w:val="clear" w:color="auto" w:fill="F0F9FC" w:themeFill="accent1"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86B2" w:themeFill="accent1" w:themeFillShade="99"/>
      </w:tcPr>
    </w:tblStylePr>
    <w:tblStylePr w:type="firstCol">
      <w:rPr>
        <w:color w:val="FFFFFF" w:themeColor="background1"/>
      </w:rPr>
      <w:tblPr/>
      <w:tcPr>
        <w:tcBorders>
          <w:top w:val="nil"/>
          <w:left w:val="nil"/>
          <w:bottom w:val="nil"/>
          <w:right w:val="nil"/>
          <w:insideH w:val="single" w:sz="4" w:space="0" w:color="1D86B2" w:themeColor="accent1" w:themeShade="99"/>
          <w:insideV w:val="nil"/>
        </w:tcBorders>
        <w:shd w:val="clear" w:color="auto" w:fill="1D86B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D86B2" w:themeFill="accent1" w:themeFillShade="99"/>
      </w:tcPr>
    </w:tblStylePr>
    <w:tblStylePr w:type="band1Vert">
      <w:tblPr/>
      <w:tcPr>
        <w:shd w:val="clear" w:color="auto" w:fill="C6E7F5" w:themeFill="accent1" w:themeFillTint="66"/>
      </w:tcPr>
    </w:tblStylePr>
    <w:tblStylePr w:type="band1Horz">
      <w:tblPr/>
      <w:tcPr>
        <w:shd w:val="clear" w:color="auto" w:fill="B8E2F3"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78BE20" w:themeColor="accent2"/>
        <w:left w:val="single" w:sz="4" w:space="0" w:color="78BE20" w:themeColor="accent2"/>
        <w:bottom w:val="single" w:sz="4" w:space="0" w:color="78BE20" w:themeColor="accent2"/>
        <w:right w:val="single" w:sz="4" w:space="0" w:color="78BE20" w:themeColor="accent2"/>
        <w:insideH w:val="single" w:sz="4" w:space="0" w:color="FFFFFF" w:themeColor="background1"/>
        <w:insideV w:val="single" w:sz="4" w:space="0" w:color="FFFFFF" w:themeColor="background1"/>
      </w:tblBorders>
    </w:tblPr>
    <w:tcPr>
      <w:shd w:val="clear" w:color="auto" w:fill="F1FBE6" w:themeFill="accent2" w:themeFillTint="19"/>
    </w:tcPr>
    <w:tblStylePr w:type="firstRow">
      <w:rPr>
        <w:b/>
        <w:bCs/>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7113" w:themeFill="accent2" w:themeFillShade="99"/>
      </w:tcPr>
    </w:tblStylePr>
    <w:tblStylePr w:type="firstCol">
      <w:rPr>
        <w:color w:val="FFFFFF" w:themeColor="background1"/>
      </w:rPr>
      <w:tblPr/>
      <w:tcPr>
        <w:tcBorders>
          <w:top w:val="nil"/>
          <w:left w:val="nil"/>
          <w:bottom w:val="nil"/>
          <w:right w:val="nil"/>
          <w:insideH w:val="single" w:sz="4" w:space="0" w:color="477113" w:themeColor="accent2" w:themeShade="99"/>
          <w:insideV w:val="nil"/>
        </w:tcBorders>
        <w:shd w:val="clear" w:color="auto" w:fill="47711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7113" w:themeFill="accent2" w:themeFillShade="99"/>
      </w:tcPr>
    </w:tblStylePr>
    <w:tblStylePr w:type="band1Vert">
      <w:tblPr/>
      <w:tcPr>
        <w:shd w:val="clear" w:color="auto" w:fill="CAEE9C" w:themeFill="accent2" w:themeFillTint="66"/>
      </w:tcPr>
    </w:tblStylePr>
    <w:tblStylePr w:type="band1Horz">
      <w:tblPr/>
      <w:tcPr>
        <w:shd w:val="clear" w:color="auto" w:fill="BCEA84"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AED879" w:themeColor="accent6"/>
        <w:left w:val="single" w:sz="4" w:space="0" w:color="AADCF1" w:themeColor="accent5"/>
        <w:bottom w:val="single" w:sz="4" w:space="0" w:color="AADCF1" w:themeColor="accent5"/>
        <w:right w:val="single" w:sz="4" w:space="0" w:color="AADCF1" w:themeColor="accent5"/>
        <w:insideH w:val="single" w:sz="4" w:space="0" w:color="FFFFFF" w:themeColor="background1"/>
        <w:insideV w:val="single" w:sz="4" w:space="0" w:color="FFFFFF" w:themeColor="background1"/>
      </w:tblBorders>
    </w:tblPr>
    <w:tcPr>
      <w:shd w:val="clear" w:color="auto" w:fill="F6FBFD" w:themeFill="accent5" w:themeFillTint="19"/>
    </w:tcPr>
    <w:tblStylePr w:type="firstRow">
      <w:rPr>
        <w:b/>
        <w:bCs/>
      </w:rPr>
      <w:tblPr/>
      <w:tcPr>
        <w:tcBorders>
          <w:top w:val="nil"/>
          <w:left w:val="nil"/>
          <w:bottom w:val="single" w:sz="24" w:space="0" w:color="AED8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9ED3" w:themeFill="accent5" w:themeFillShade="99"/>
      </w:tcPr>
    </w:tblStylePr>
    <w:tblStylePr w:type="firstCol">
      <w:rPr>
        <w:color w:val="FFFFFF" w:themeColor="background1"/>
      </w:rPr>
      <w:tblPr/>
      <w:tcPr>
        <w:tcBorders>
          <w:top w:val="nil"/>
          <w:left w:val="nil"/>
          <w:bottom w:val="nil"/>
          <w:right w:val="nil"/>
          <w:insideH w:val="single" w:sz="4" w:space="0" w:color="239ED3" w:themeColor="accent5" w:themeShade="99"/>
          <w:insideV w:val="nil"/>
        </w:tcBorders>
        <w:shd w:val="clear" w:color="auto" w:fill="239ED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39ED3" w:themeFill="accent5" w:themeFillShade="99"/>
      </w:tcPr>
    </w:tblStylePr>
    <w:tblStylePr w:type="band1Vert">
      <w:tblPr/>
      <w:tcPr>
        <w:shd w:val="clear" w:color="auto" w:fill="DCF0F9" w:themeFill="accent5" w:themeFillTint="66"/>
      </w:tcPr>
    </w:tblStylePr>
    <w:tblStylePr w:type="band1Horz">
      <w:tblPr/>
      <w:tcPr>
        <w:shd w:val="clear" w:color="auto" w:fill="D4EDF8"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AADCF1" w:themeColor="accent5"/>
        <w:left w:val="single" w:sz="4" w:space="0" w:color="AED879" w:themeColor="accent6"/>
        <w:bottom w:val="single" w:sz="4" w:space="0" w:color="AED879" w:themeColor="accent6"/>
        <w:right w:val="single" w:sz="4" w:space="0" w:color="AED879" w:themeColor="accent6"/>
        <w:insideH w:val="single" w:sz="4" w:space="0" w:color="FFFFFF" w:themeColor="background1"/>
        <w:insideV w:val="single" w:sz="4" w:space="0" w:color="FFFFFF" w:themeColor="background1"/>
      </w:tblBorders>
    </w:tblPr>
    <w:tcPr>
      <w:shd w:val="clear" w:color="auto" w:fill="F7FBF1" w:themeFill="accent6" w:themeFillTint="19"/>
    </w:tcPr>
    <w:tblStylePr w:type="firstRow">
      <w:rPr>
        <w:b/>
        <w:bCs/>
      </w:rPr>
      <w:tblPr/>
      <w:tcPr>
        <w:tcBorders>
          <w:top w:val="nil"/>
          <w:left w:val="nil"/>
          <w:bottom w:val="single" w:sz="24" w:space="0" w:color="AADC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9C2D" w:themeFill="accent6" w:themeFillShade="99"/>
      </w:tcPr>
    </w:tblStylePr>
    <w:tblStylePr w:type="firstCol">
      <w:rPr>
        <w:color w:val="FFFFFF" w:themeColor="background1"/>
      </w:rPr>
      <w:tblPr/>
      <w:tcPr>
        <w:tcBorders>
          <w:top w:val="nil"/>
          <w:left w:val="nil"/>
          <w:bottom w:val="nil"/>
          <w:right w:val="nil"/>
          <w:insideH w:val="single" w:sz="4" w:space="0" w:color="6B9C2D" w:themeColor="accent6" w:themeShade="99"/>
          <w:insideV w:val="nil"/>
        </w:tcBorders>
        <w:shd w:val="clear" w:color="auto" w:fill="6B9C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B9C2D" w:themeFill="accent6" w:themeFillShade="99"/>
      </w:tcPr>
    </w:tblStylePr>
    <w:tblStylePr w:type="band1Vert">
      <w:tblPr/>
      <w:tcPr>
        <w:shd w:val="clear" w:color="auto" w:fill="DEEFC9" w:themeFill="accent6" w:themeFillTint="66"/>
      </w:tcPr>
    </w:tblStylePr>
    <w:tblStylePr w:type="band1Horz">
      <w:tblPr/>
      <w:tcPr>
        <w:shd w:val="clear" w:color="auto" w:fill="D6EBBC"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71C5E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86F9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6A6D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6A6DC" w:themeFill="accent1" w:themeFillShade="BF"/>
      </w:tcPr>
    </w:tblStylePr>
    <w:tblStylePr w:type="band1Vert">
      <w:tblPr/>
      <w:tcPr>
        <w:tcBorders>
          <w:top w:val="nil"/>
          <w:left w:val="nil"/>
          <w:bottom w:val="nil"/>
          <w:right w:val="nil"/>
          <w:insideH w:val="nil"/>
          <w:insideV w:val="nil"/>
        </w:tcBorders>
        <w:shd w:val="clear" w:color="auto" w:fill="26A6DC" w:themeFill="accent1" w:themeFillShade="BF"/>
      </w:tcPr>
    </w:tblStylePr>
    <w:tblStylePr w:type="band1Horz">
      <w:tblPr/>
      <w:tcPr>
        <w:tcBorders>
          <w:top w:val="nil"/>
          <w:left w:val="nil"/>
          <w:bottom w:val="nil"/>
          <w:right w:val="nil"/>
          <w:insideH w:val="nil"/>
          <w:insideV w:val="nil"/>
        </w:tcBorders>
        <w:shd w:val="clear" w:color="auto" w:fill="26A6DC"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78BE2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3B5E1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98E1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98E18" w:themeFill="accent2" w:themeFillShade="BF"/>
      </w:tcPr>
    </w:tblStylePr>
    <w:tblStylePr w:type="band1Vert">
      <w:tblPr/>
      <w:tcPr>
        <w:tcBorders>
          <w:top w:val="nil"/>
          <w:left w:val="nil"/>
          <w:bottom w:val="nil"/>
          <w:right w:val="nil"/>
          <w:insideH w:val="nil"/>
          <w:insideV w:val="nil"/>
        </w:tcBorders>
        <w:shd w:val="clear" w:color="auto" w:fill="598E18" w:themeFill="accent2" w:themeFillShade="BF"/>
      </w:tcPr>
    </w:tblStylePr>
    <w:tblStylePr w:type="band1Horz">
      <w:tblPr/>
      <w:tcPr>
        <w:tcBorders>
          <w:top w:val="nil"/>
          <w:left w:val="nil"/>
          <w:bottom w:val="nil"/>
          <w:right w:val="nil"/>
          <w:insideH w:val="nil"/>
          <w:insideV w:val="nil"/>
        </w:tcBorders>
        <w:shd w:val="clear" w:color="auto" w:fill="598E18"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AADC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D83A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1B7E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1B7E2" w:themeFill="accent5" w:themeFillShade="BF"/>
      </w:tcPr>
    </w:tblStylePr>
    <w:tblStylePr w:type="band1Vert">
      <w:tblPr/>
      <w:tcPr>
        <w:tcBorders>
          <w:top w:val="nil"/>
          <w:left w:val="nil"/>
          <w:bottom w:val="nil"/>
          <w:right w:val="nil"/>
          <w:insideH w:val="nil"/>
          <w:insideV w:val="nil"/>
        </w:tcBorders>
        <w:shd w:val="clear" w:color="auto" w:fill="51B7E2" w:themeFill="accent5" w:themeFillShade="BF"/>
      </w:tcPr>
    </w:tblStylePr>
    <w:tblStylePr w:type="band1Horz">
      <w:tblPr/>
      <w:tcPr>
        <w:tcBorders>
          <w:top w:val="nil"/>
          <w:left w:val="nil"/>
          <w:bottom w:val="nil"/>
          <w:right w:val="nil"/>
          <w:insideH w:val="nil"/>
          <w:insideV w:val="nil"/>
        </w:tcBorders>
        <w:shd w:val="clear" w:color="auto" w:fill="51B7E2"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AED8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5981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6C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6C339" w:themeFill="accent6" w:themeFillShade="BF"/>
      </w:tcPr>
    </w:tblStylePr>
    <w:tblStylePr w:type="band1Vert">
      <w:tblPr/>
      <w:tcPr>
        <w:tcBorders>
          <w:top w:val="nil"/>
          <w:left w:val="nil"/>
          <w:bottom w:val="nil"/>
          <w:right w:val="nil"/>
          <w:insideH w:val="nil"/>
          <w:insideV w:val="nil"/>
        </w:tcBorders>
        <w:shd w:val="clear" w:color="auto" w:fill="86C339" w:themeFill="accent6" w:themeFillShade="BF"/>
      </w:tcPr>
    </w:tblStylePr>
    <w:tblStylePr w:type="band1Horz">
      <w:tblPr/>
      <w:tcPr>
        <w:tcBorders>
          <w:top w:val="nil"/>
          <w:left w:val="nil"/>
          <w:bottom w:val="nil"/>
          <w:right w:val="nil"/>
          <w:insideH w:val="nil"/>
          <w:insideV w:val="nil"/>
        </w:tcBorders>
        <w:shd w:val="clear" w:color="auto" w:fill="86C339"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C6E7F5" w:themeColor="accent1" w:themeTint="66"/>
        <w:left w:val="single" w:sz="4" w:space="0" w:color="C6E7F5" w:themeColor="accent1" w:themeTint="66"/>
        <w:bottom w:val="single" w:sz="4" w:space="0" w:color="C6E7F5" w:themeColor="accent1" w:themeTint="66"/>
        <w:right w:val="single" w:sz="4" w:space="0" w:color="C6E7F5" w:themeColor="accent1" w:themeTint="66"/>
        <w:insideH w:val="single" w:sz="4" w:space="0" w:color="C6E7F5" w:themeColor="accent1" w:themeTint="66"/>
        <w:insideV w:val="single" w:sz="4" w:space="0" w:color="C6E7F5" w:themeColor="accent1" w:themeTint="66"/>
      </w:tblBorders>
    </w:tblPr>
    <w:tblStylePr w:type="firstRow">
      <w:rPr>
        <w:b/>
        <w:bCs/>
      </w:rPr>
      <w:tblPr/>
      <w:tcPr>
        <w:tcBorders>
          <w:bottom w:val="single" w:sz="12" w:space="0" w:color="A9DCF1" w:themeColor="accent1" w:themeTint="99"/>
        </w:tcBorders>
      </w:tcPr>
    </w:tblStylePr>
    <w:tblStylePr w:type="lastRow">
      <w:rPr>
        <w:b/>
        <w:bCs/>
      </w:rPr>
      <w:tblPr/>
      <w:tcPr>
        <w:tcBorders>
          <w:top w:val="double" w:sz="2" w:space="0" w:color="A9DCF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AEE9C" w:themeColor="accent2" w:themeTint="66"/>
        <w:left w:val="single" w:sz="4" w:space="0" w:color="CAEE9C" w:themeColor="accent2" w:themeTint="66"/>
        <w:bottom w:val="single" w:sz="4" w:space="0" w:color="CAEE9C" w:themeColor="accent2" w:themeTint="66"/>
        <w:right w:val="single" w:sz="4" w:space="0" w:color="CAEE9C" w:themeColor="accent2" w:themeTint="66"/>
        <w:insideH w:val="single" w:sz="4" w:space="0" w:color="CAEE9C" w:themeColor="accent2" w:themeTint="66"/>
        <w:insideV w:val="single" w:sz="4" w:space="0" w:color="CAEE9C" w:themeColor="accent2" w:themeTint="66"/>
      </w:tblBorders>
    </w:tblPr>
    <w:tblStylePr w:type="firstRow">
      <w:rPr>
        <w:b/>
        <w:bCs/>
      </w:rPr>
      <w:tblPr/>
      <w:tcPr>
        <w:tcBorders>
          <w:bottom w:val="single" w:sz="12" w:space="0" w:color="AFE66A" w:themeColor="accent2" w:themeTint="99"/>
        </w:tcBorders>
      </w:tcPr>
    </w:tblStylePr>
    <w:tblStylePr w:type="lastRow">
      <w:rPr>
        <w:b/>
        <w:bCs/>
      </w:rPr>
      <w:tblPr/>
      <w:tcPr>
        <w:tcBorders>
          <w:top w:val="double" w:sz="2" w:space="0" w:color="AFE66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DCF0F9" w:themeColor="accent5" w:themeTint="66"/>
        <w:left w:val="single" w:sz="4" w:space="0" w:color="DCF0F9" w:themeColor="accent5" w:themeTint="66"/>
        <w:bottom w:val="single" w:sz="4" w:space="0" w:color="DCF0F9" w:themeColor="accent5" w:themeTint="66"/>
        <w:right w:val="single" w:sz="4" w:space="0" w:color="DCF0F9" w:themeColor="accent5" w:themeTint="66"/>
        <w:insideH w:val="single" w:sz="4" w:space="0" w:color="DCF0F9" w:themeColor="accent5" w:themeTint="66"/>
        <w:insideV w:val="single" w:sz="4" w:space="0" w:color="DCF0F9" w:themeColor="accent5" w:themeTint="66"/>
      </w:tblBorders>
    </w:tblPr>
    <w:tblStylePr w:type="firstRow">
      <w:rPr>
        <w:b/>
        <w:bCs/>
      </w:rPr>
      <w:tblPr/>
      <w:tcPr>
        <w:tcBorders>
          <w:bottom w:val="single" w:sz="12" w:space="0" w:color="CBE9F6" w:themeColor="accent5" w:themeTint="99"/>
        </w:tcBorders>
      </w:tcPr>
    </w:tblStylePr>
    <w:tblStylePr w:type="lastRow">
      <w:rPr>
        <w:b/>
        <w:bCs/>
      </w:rPr>
      <w:tblPr/>
      <w:tcPr>
        <w:tcBorders>
          <w:top w:val="double" w:sz="2" w:space="0" w:color="CBE9F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DEEFC9" w:themeColor="accent6" w:themeTint="66"/>
        <w:left w:val="single" w:sz="4" w:space="0" w:color="DEEFC9" w:themeColor="accent6" w:themeTint="66"/>
        <w:bottom w:val="single" w:sz="4" w:space="0" w:color="DEEFC9" w:themeColor="accent6" w:themeTint="66"/>
        <w:right w:val="single" w:sz="4" w:space="0" w:color="DEEFC9" w:themeColor="accent6" w:themeTint="66"/>
        <w:insideH w:val="single" w:sz="4" w:space="0" w:color="DEEFC9" w:themeColor="accent6" w:themeTint="66"/>
        <w:insideV w:val="single" w:sz="4" w:space="0" w:color="DEEFC9" w:themeColor="accent6" w:themeTint="66"/>
      </w:tblBorders>
    </w:tblPr>
    <w:tblStylePr w:type="firstRow">
      <w:rPr>
        <w:b/>
        <w:bCs/>
      </w:rPr>
      <w:tblPr/>
      <w:tcPr>
        <w:tcBorders>
          <w:bottom w:val="single" w:sz="12" w:space="0" w:color="CEE7AE" w:themeColor="accent6" w:themeTint="99"/>
        </w:tcBorders>
      </w:tcPr>
    </w:tblStylePr>
    <w:tblStylePr w:type="lastRow">
      <w:rPr>
        <w:b/>
        <w:bCs/>
      </w:rPr>
      <w:tblPr/>
      <w:tcPr>
        <w:tcBorders>
          <w:top w:val="double" w:sz="2" w:space="0" w:color="CEE7A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A9DCF1" w:themeColor="accent1" w:themeTint="99"/>
        <w:bottom w:val="single" w:sz="2" w:space="0" w:color="A9DCF1" w:themeColor="accent1" w:themeTint="99"/>
        <w:insideH w:val="single" w:sz="2" w:space="0" w:color="A9DCF1" w:themeColor="accent1" w:themeTint="99"/>
        <w:insideV w:val="single" w:sz="2" w:space="0" w:color="A9DCF1" w:themeColor="accent1" w:themeTint="99"/>
      </w:tblBorders>
    </w:tblPr>
    <w:tblStylePr w:type="firstRow">
      <w:rPr>
        <w:b/>
        <w:bCs/>
      </w:rPr>
      <w:tblPr/>
      <w:tcPr>
        <w:tcBorders>
          <w:top w:val="nil"/>
          <w:bottom w:val="single" w:sz="12" w:space="0" w:color="A9DCF1" w:themeColor="accent1" w:themeTint="99"/>
          <w:insideH w:val="nil"/>
          <w:insideV w:val="nil"/>
        </w:tcBorders>
        <w:shd w:val="clear" w:color="auto" w:fill="FFFFFF" w:themeFill="background1"/>
      </w:tcPr>
    </w:tblStylePr>
    <w:tblStylePr w:type="lastRow">
      <w:rPr>
        <w:b/>
        <w:bCs/>
      </w:rPr>
      <w:tblPr/>
      <w:tcPr>
        <w:tcBorders>
          <w:top w:val="double" w:sz="2" w:space="0" w:color="A9DC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AFE66A" w:themeColor="accent2" w:themeTint="99"/>
        <w:bottom w:val="single" w:sz="2" w:space="0" w:color="AFE66A" w:themeColor="accent2" w:themeTint="99"/>
        <w:insideH w:val="single" w:sz="2" w:space="0" w:color="AFE66A" w:themeColor="accent2" w:themeTint="99"/>
        <w:insideV w:val="single" w:sz="2" w:space="0" w:color="AFE66A" w:themeColor="accent2" w:themeTint="99"/>
      </w:tblBorders>
    </w:tblPr>
    <w:tblStylePr w:type="firstRow">
      <w:rPr>
        <w:b/>
        <w:bCs/>
      </w:rPr>
      <w:tblPr/>
      <w:tcPr>
        <w:tcBorders>
          <w:top w:val="nil"/>
          <w:bottom w:val="single" w:sz="12" w:space="0" w:color="AFE66A" w:themeColor="accent2" w:themeTint="99"/>
          <w:insideH w:val="nil"/>
          <w:insideV w:val="nil"/>
        </w:tcBorders>
        <w:shd w:val="clear" w:color="auto" w:fill="FFFFFF" w:themeFill="background1"/>
      </w:tcPr>
    </w:tblStylePr>
    <w:tblStylePr w:type="lastRow">
      <w:rPr>
        <w:b/>
        <w:bCs/>
      </w:rPr>
      <w:tblPr/>
      <w:tcPr>
        <w:tcBorders>
          <w:top w:val="double" w:sz="2" w:space="0" w:color="AFE66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CBE9F6" w:themeColor="accent5" w:themeTint="99"/>
        <w:bottom w:val="single" w:sz="2" w:space="0" w:color="CBE9F6" w:themeColor="accent5" w:themeTint="99"/>
        <w:insideH w:val="single" w:sz="2" w:space="0" w:color="CBE9F6" w:themeColor="accent5" w:themeTint="99"/>
        <w:insideV w:val="single" w:sz="2" w:space="0" w:color="CBE9F6" w:themeColor="accent5" w:themeTint="99"/>
      </w:tblBorders>
    </w:tblPr>
    <w:tblStylePr w:type="firstRow">
      <w:rPr>
        <w:b/>
        <w:bCs/>
      </w:rPr>
      <w:tblPr/>
      <w:tcPr>
        <w:tcBorders>
          <w:top w:val="nil"/>
          <w:bottom w:val="single" w:sz="12" w:space="0" w:color="CBE9F6" w:themeColor="accent5" w:themeTint="99"/>
          <w:insideH w:val="nil"/>
          <w:insideV w:val="nil"/>
        </w:tcBorders>
        <w:shd w:val="clear" w:color="auto" w:fill="FFFFFF" w:themeFill="background1"/>
      </w:tcPr>
    </w:tblStylePr>
    <w:tblStylePr w:type="lastRow">
      <w:rPr>
        <w:b/>
        <w:bCs/>
      </w:rPr>
      <w:tblPr/>
      <w:tcPr>
        <w:tcBorders>
          <w:top w:val="double" w:sz="2" w:space="0" w:color="CBE9F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CEE7AE" w:themeColor="accent6" w:themeTint="99"/>
        <w:bottom w:val="single" w:sz="2" w:space="0" w:color="CEE7AE" w:themeColor="accent6" w:themeTint="99"/>
        <w:insideH w:val="single" w:sz="2" w:space="0" w:color="CEE7AE" w:themeColor="accent6" w:themeTint="99"/>
        <w:insideV w:val="single" w:sz="2" w:space="0" w:color="CEE7AE" w:themeColor="accent6" w:themeTint="99"/>
      </w:tblBorders>
    </w:tblPr>
    <w:tblStylePr w:type="firstRow">
      <w:rPr>
        <w:b/>
        <w:bCs/>
      </w:rPr>
      <w:tblPr/>
      <w:tcPr>
        <w:tcBorders>
          <w:top w:val="nil"/>
          <w:bottom w:val="single" w:sz="12" w:space="0" w:color="CEE7AE" w:themeColor="accent6" w:themeTint="99"/>
          <w:insideH w:val="nil"/>
          <w:insideV w:val="nil"/>
        </w:tcBorders>
        <w:shd w:val="clear" w:color="auto" w:fill="FFFFFF" w:themeFill="background1"/>
      </w:tcPr>
    </w:tblStylePr>
    <w:tblStylePr w:type="lastRow">
      <w:rPr>
        <w:b/>
        <w:bCs/>
      </w:rPr>
      <w:tblPr/>
      <w:tcPr>
        <w:tcBorders>
          <w:top w:val="double" w:sz="2" w:space="0" w:color="CEE7A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bottom w:val="single" w:sz="4" w:space="0" w:color="A9DCF1" w:themeColor="accent1" w:themeTint="99"/>
        </w:tcBorders>
      </w:tcPr>
    </w:tblStylePr>
    <w:tblStylePr w:type="nwCell">
      <w:tblPr/>
      <w:tcPr>
        <w:tcBorders>
          <w:bottom w:val="single" w:sz="4" w:space="0" w:color="A9DCF1" w:themeColor="accent1" w:themeTint="99"/>
        </w:tcBorders>
      </w:tcPr>
    </w:tblStylePr>
    <w:tblStylePr w:type="seCell">
      <w:tblPr/>
      <w:tcPr>
        <w:tcBorders>
          <w:top w:val="single" w:sz="4" w:space="0" w:color="A9DCF1" w:themeColor="accent1" w:themeTint="99"/>
        </w:tcBorders>
      </w:tcPr>
    </w:tblStylePr>
    <w:tblStylePr w:type="swCell">
      <w:tblPr/>
      <w:tcPr>
        <w:tcBorders>
          <w:top w:val="single" w:sz="4" w:space="0" w:color="A9DCF1"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bottom w:val="single" w:sz="4" w:space="0" w:color="AFE66A" w:themeColor="accent2" w:themeTint="99"/>
        </w:tcBorders>
      </w:tcPr>
    </w:tblStylePr>
    <w:tblStylePr w:type="nwCell">
      <w:tblPr/>
      <w:tcPr>
        <w:tcBorders>
          <w:bottom w:val="single" w:sz="4" w:space="0" w:color="AFE66A" w:themeColor="accent2" w:themeTint="99"/>
        </w:tcBorders>
      </w:tcPr>
    </w:tblStylePr>
    <w:tblStylePr w:type="seCell">
      <w:tblPr/>
      <w:tcPr>
        <w:tcBorders>
          <w:top w:val="single" w:sz="4" w:space="0" w:color="AFE66A" w:themeColor="accent2" w:themeTint="99"/>
        </w:tcBorders>
      </w:tcPr>
    </w:tblStylePr>
    <w:tblStylePr w:type="swCell">
      <w:tblPr/>
      <w:tcPr>
        <w:tcBorders>
          <w:top w:val="single" w:sz="4" w:space="0" w:color="AFE66A"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bottom w:val="single" w:sz="4" w:space="0" w:color="CBE9F6" w:themeColor="accent5" w:themeTint="99"/>
        </w:tcBorders>
      </w:tcPr>
    </w:tblStylePr>
    <w:tblStylePr w:type="nwCell">
      <w:tblPr/>
      <w:tcPr>
        <w:tcBorders>
          <w:bottom w:val="single" w:sz="4" w:space="0" w:color="CBE9F6" w:themeColor="accent5" w:themeTint="99"/>
        </w:tcBorders>
      </w:tcPr>
    </w:tblStylePr>
    <w:tblStylePr w:type="seCell">
      <w:tblPr/>
      <w:tcPr>
        <w:tcBorders>
          <w:top w:val="single" w:sz="4" w:space="0" w:color="CBE9F6" w:themeColor="accent5" w:themeTint="99"/>
        </w:tcBorders>
      </w:tcPr>
    </w:tblStylePr>
    <w:tblStylePr w:type="swCell">
      <w:tblPr/>
      <w:tcPr>
        <w:tcBorders>
          <w:top w:val="single" w:sz="4" w:space="0" w:color="CBE9F6"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bottom w:val="single" w:sz="4" w:space="0" w:color="CEE7AE" w:themeColor="accent6" w:themeTint="99"/>
        </w:tcBorders>
      </w:tcPr>
    </w:tblStylePr>
    <w:tblStylePr w:type="nwCell">
      <w:tblPr/>
      <w:tcPr>
        <w:tcBorders>
          <w:bottom w:val="single" w:sz="4" w:space="0" w:color="CEE7AE" w:themeColor="accent6" w:themeTint="99"/>
        </w:tcBorders>
      </w:tcPr>
    </w:tblStylePr>
    <w:tblStylePr w:type="seCell">
      <w:tblPr/>
      <w:tcPr>
        <w:tcBorders>
          <w:top w:val="single" w:sz="4" w:space="0" w:color="CEE7AE" w:themeColor="accent6" w:themeTint="99"/>
        </w:tcBorders>
      </w:tcPr>
    </w:tblStylePr>
    <w:tblStylePr w:type="swCell">
      <w:tblPr/>
      <w:tcPr>
        <w:tcBorders>
          <w:top w:val="single" w:sz="4" w:space="0" w:color="CEE7AE"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color w:val="FFFFFF" w:themeColor="background1"/>
      </w:rPr>
      <w:tblPr/>
      <w:tcPr>
        <w:tcBorders>
          <w:top w:val="single" w:sz="4" w:space="0" w:color="71C5E8" w:themeColor="accent1"/>
          <w:left w:val="single" w:sz="4" w:space="0" w:color="71C5E8" w:themeColor="accent1"/>
          <w:bottom w:val="single" w:sz="4" w:space="0" w:color="71C5E8" w:themeColor="accent1"/>
          <w:right w:val="single" w:sz="4" w:space="0" w:color="71C5E8" w:themeColor="accent1"/>
          <w:insideH w:val="nil"/>
          <w:insideV w:val="nil"/>
        </w:tcBorders>
        <w:shd w:val="clear" w:color="auto" w:fill="71C5E8" w:themeFill="accent1"/>
      </w:tcPr>
    </w:tblStylePr>
    <w:tblStylePr w:type="lastRow">
      <w:rPr>
        <w:b/>
        <w:bCs/>
      </w:rPr>
      <w:tblPr/>
      <w:tcPr>
        <w:tcBorders>
          <w:top w:val="double" w:sz="4" w:space="0" w:color="71C5E8" w:themeColor="accent1"/>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color w:val="FFFFFF" w:themeColor="background1"/>
      </w:rPr>
      <w:tblPr/>
      <w:tcPr>
        <w:tcBorders>
          <w:top w:val="single" w:sz="4" w:space="0" w:color="78BE20" w:themeColor="accent2"/>
          <w:left w:val="single" w:sz="4" w:space="0" w:color="78BE20" w:themeColor="accent2"/>
          <w:bottom w:val="single" w:sz="4" w:space="0" w:color="78BE20" w:themeColor="accent2"/>
          <w:right w:val="single" w:sz="4" w:space="0" w:color="78BE20" w:themeColor="accent2"/>
          <w:insideH w:val="nil"/>
          <w:insideV w:val="nil"/>
        </w:tcBorders>
        <w:shd w:val="clear" w:color="auto" w:fill="78BE20" w:themeFill="accent2"/>
      </w:tcPr>
    </w:tblStylePr>
    <w:tblStylePr w:type="lastRow">
      <w:rPr>
        <w:b/>
        <w:bCs/>
      </w:rPr>
      <w:tblPr/>
      <w:tcPr>
        <w:tcBorders>
          <w:top w:val="double" w:sz="4" w:space="0" w:color="78BE20"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color w:val="FFFFFF" w:themeColor="background1"/>
      </w:rPr>
      <w:tblPr/>
      <w:tcPr>
        <w:tcBorders>
          <w:top w:val="single" w:sz="4" w:space="0" w:color="AADCF1" w:themeColor="accent5"/>
          <w:left w:val="single" w:sz="4" w:space="0" w:color="AADCF1" w:themeColor="accent5"/>
          <w:bottom w:val="single" w:sz="4" w:space="0" w:color="AADCF1" w:themeColor="accent5"/>
          <w:right w:val="single" w:sz="4" w:space="0" w:color="AADCF1" w:themeColor="accent5"/>
          <w:insideH w:val="nil"/>
          <w:insideV w:val="nil"/>
        </w:tcBorders>
        <w:shd w:val="clear" w:color="auto" w:fill="AADCF1" w:themeFill="accent5"/>
      </w:tcPr>
    </w:tblStylePr>
    <w:tblStylePr w:type="lastRow">
      <w:rPr>
        <w:b/>
        <w:bCs/>
      </w:rPr>
      <w:tblPr/>
      <w:tcPr>
        <w:tcBorders>
          <w:top w:val="double" w:sz="4" w:space="0" w:color="AADCF1" w:themeColor="accent5"/>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color w:val="FFFFFF" w:themeColor="background1"/>
      </w:rPr>
      <w:tblPr/>
      <w:tcPr>
        <w:tcBorders>
          <w:top w:val="single" w:sz="4" w:space="0" w:color="AED879" w:themeColor="accent6"/>
          <w:left w:val="single" w:sz="4" w:space="0" w:color="AED879" w:themeColor="accent6"/>
          <w:bottom w:val="single" w:sz="4" w:space="0" w:color="AED879" w:themeColor="accent6"/>
          <w:right w:val="single" w:sz="4" w:space="0" w:color="AED879" w:themeColor="accent6"/>
          <w:insideH w:val="nil"/>
          <w:insideV w:val="nil"/>
        </w:tcBorders>
        <w:shd w:val="clear" w:color="auto" w:fill="AED879" w:themeFill="accent6"/>
      </w:tcPr>
    </w:tblStylePr>
    <w:tblStylePr w:type="lastRow">
      <w:rPr>
        <w:b/>
        <w:bCs/>
      </w:rPr>
      <w:tblPr/>
      <w:tcPr>
        <w:tcBorders>
          <w:top w:val="double" w:sz="4" w:space="0" w:color="AED879" w:themeColor="accent6"/>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3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C5E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C5E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C5E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C5E8" w:themeFill="accent1"/>
      </w:tcPr>
    </w:tblStylePr>
    <w:tblStylePr w:type="band1Vert">
      <w:tblPr/>
      <w:tcPr>
        <w:shd w:val="clear" w:color="auto" w:fill="C6E7F5" w:themeFill="accent1" w:themeFillTint="66"/>
      </w:tcPr>
    </w:tblStylePr>
    <w:tblStylePr w:type="band1Horz">
      <w:tblPr/>
      <w:tcPr>
        <w:shd w:val="clear" w:color="auto" w:fill="C6E7F5"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6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BE2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BE2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BE2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BE20" w:themeFill="accent2"/>
      </w:tcPr>
    </w:tblStylePr>
    <w:tblStylePr w:type="band1Vert">
      <w:tblPr/>
      <w:tcPr>
        <w:shd w:val="clear" w:color="auto" w:fill="CAEE9C" w:themeFill="accent2" w:themeFillTint="66"/>
      </w:tcPr>
    </w:tblStylePr>
    <w:tblStylePr w:type="band1Horz">
      <w:tblPr/>
      <w:tcPr>
        <w:shd w:val="clear" w:color="auto" w:fill="CAEE9C"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F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F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F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F1" w:themeFill="accent5"/>
      </w:tcPr>
    </w:tblStylePr>
    <w:tblStylePr w:type="band1Vert">
      <w:tblPr/>
      <w:tcPr>
        <w:shd w:val="clear" w:color="auto" w:fill="DCF0F9" w:themeFill="accent5" w:themeFillTint="66"/>
      </w:tcPr>
    </w:tblStylePr>
    <w:tblStylePr w:type="band1Horz">
      <w:tblPr/>
      <w:tcPr>
        <w:shd w:val="clear" w:color="auto" w:fill="DCF0F9"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7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ED87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ED87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ED87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ED879" w:themeFill="accent6"/>
      </w:tcPr>
    </w:tblStylePr>
    <w:tblStylePr w:type="band1Vert">
      <w:tblPr/>
      <w:tcPr>
        <w:shd w:val="clear" w:color="auto" w:fill="DEEFC9" w:themeFill="accent6" w:themeFillTint="66"/>
      </w:tcPr>
    </w:tblStylePr>
    <w:tblStylePr w:type="band1Horz">
      <w:tblPr/>
      <w:tcPr>
        <w:shd w:val="clear" w:color="auto" w:fill="DEEFC9"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26A6DC" w:themeColor="accent1" w:themeShade="BF"/>
    </w:rPr>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bottom w:val="single" w:sz="12" w:space="0" w:color="A9DCF1" w:themeColor="accent1" w:themeTint="99"/>
        </w:tcBorders>
      </w:tcPr>
    </w:tblStylePr>
    <w:tblStylePr w:type="lastRow">
      <w:rPr>
        <w:b/>
        <w:bCs/>
      </w:rPr>
      <w:tblPr/>
      <w:tcPr>
        <w:tcBorders>
          <w:top w:val="doub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GridTable6Colorful-Accent2">
    <w:name w:val="Grid Table 6 Colorful Accent 2"/>
    <w:basedOn w:val="TableNormal"/>
    <w:uiPriority w:val="51"/>
    <w:semiHidden/>
    <w:rsid w:val="0058629F"/>
    <w:rPr>
      <w:color w:val="598E18" w:themeColor="accent2" w:themeShade="BF"/>
    </w:rPr>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bottom w:val="single" w:sz="12" w:space="0" w:color="AFE66A" w:themeColor="accent2" w:themeTint="99"/>
        </w:tcBorders>
      </w:tcPr>
    </w:tblStylePr>
    <w:tblStylePr w:type="lastRow">
      <w:rPr>
        <w:b/>
        <w:bCs/>
      </w:rPr>
      <w:tblPr/>
      <w:tcPr>
        <w:tcBorders>
          <w:top w:val="doub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51B7E2" w:themeColor="accent5" w:themeShade="BF"/>
    </w:rPr>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bottom w:val="single" w:sz="12" w:space="0" w:color="CBE9F6" w:themeColor="accent5" w:themeTint="99"/>
        </w:tcBorders>
      </w:tcPr>
    </w:tblStylePr>
    <w:tblStylePr w:type="lastRow">
      <w:rPr>
        <w:b/>
        <w:bCs/>
      </w:rPr>
      <w:tblPr/>
      <w:tcPr>
        <w:tcBorders>
          <w:top w:val="doub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GridTable6Colorful-Accent6">
    <w:name w:val="Grid Table 6 Colorful Accent 6"/>
    <w:basedOn w:val="TableNormal"/>
    <w:uiPriority w:val="51"/>
    <w:semiHidden/>
    <w:rsid w:val="0058629F"/>
    <w:rPr>
      <w:color w:val="86C339" w:themeColor="accent6" w:themeShade="BF"/>
    </w:rPr>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bottom w:val="single" w:sz="12" w:space="0" w:color="CEE7AE" w:themeColor="accent6" w:themeTint="99"/>
        </w:tcBorders>
      </w:tcPr>
    </w:tblStylePr>
    <w:tblStylePr w:type="lastRow">
      <w:rPr>
        <w:b/>
        <w:bCs/>
      </w:rPr>
      <w:tblPr/>
      <w:tcPr>
        <w:tcBorders>
          <w:top w:val="doub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26A6DC" w:themeColor="accent1" w:themeShade="BF"/>
    </w:rPr>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insideV w:val="single" w:sz="4" w:space="0" w:color="A9D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bottom w:val="single" w:sz="4" w:space="0" w:color="A9DCF1" w:themeColor="accent1" w:themeTint="99"/>
        </w:tcBorders>
      </w:tcPr>
    </w:tblStylePr>
    <w:tblStylePr w:type="nwCell">
      <w:tblPr/>
      <w:tcPr>
        <w:tcBorders>
          <w:bottom w:val="single" w:sz="4" w:space="0" w:color="A9DCF1" w:themeColor="accent1" w:themeTint="99"/>
        </w:tcBorders>
      </w:tcPr>
    </w:tblStylePr>
    <w:tblStylePr w:type="seCell">
      <w:tblPr/>
      <w:tcPr>
        <w:tcBorders>
          <w:top w:val="single" w:sz="4" w:space="0" w:color="A9DCF1" w:themeColor="accent1" w:themeTint="99"/>
        </w:tcBorders>
      </w:tcPr>
    </w:tblStylePr>
    <w:tblStylePr w:type="swCell">
      <w:tblPr/>
      <w:tcPr>
        <w:tcBorders>
          <w:top w:val="single" w:sz="4" w:space="0" w:color="A9DCF1" w:themeColor="accent1" w:themeTint="99"/>
        </w:tcBorders>
      </w:tcPr>
    </w:tblStylePr>
  </w:style>
  <w:style w:type="table" w:styleId="GridTable7Colorful-Accent2">
    <w:name w:val="Grid Table 7 Colorful Accent 2"/>
    <w:basedOn w:val="TableNormal"/>
    <w:uiPriority w:val="52"/>
    <w:semiHidden/>
    <w:rsid w:val="0058629F"/>
    <w:rPr>
      <w:color w:val="598E18" w:themeColor="accent2" w:themeShade="BF"/>
    </w:rPr>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insideV w:val="single" w:sz="4" w:space="0" w:color="AFE66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bottom w:val="single" w:sz="4" w:space="0" w:color="AFE66A" w:themeColor="accent2" w:themeTint="99"/>
        </w:tcBorders>
      </w:tcPr>
    </w:tblStylePr>
    <w:tblStylePr w:type="nwCell">
      <w:tblPr/>
      <w:tcPr>
        <w:tcBorders>
          <w:bottom w:val="single" w:sz="4" w:space="0" w:color="AFE66A" w:themeColor="accent2" w:themeTint="99"/>
        </w:tcBorders>
      </w:tcPr>
    </w:tblStylePr>
    <w:tblStylePr w:type="seCell">
      <w:tblPr/>
      <w:tcPr>
        <w:tcBorders>
          <w:top w:val="single" w:sz="4" w:space="0" w:color="AFE66A" w:themeColor="accent2" w:themeTint="99"/>
        </w:tcBorders>
      </w:tcPr>
    </w:tblStylePr>
    <w:tblStylePr w:type="swCell">
      <w:tblPr/>
      <w:tcPr>
        <w:tcBorders>
          <w:top w:val="single" w:sz="4" w:space="0" w:color="AFE66A"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51B7E2" w:themeColor="accent5" w:themeShade="BF"/>
    </w:rPr>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insideV w:val="single" w:sz="4" w:space="0" w:color="CBE9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bottom w:val="single" w:sz="4" w:space="0" w:color="CBE9F6" w:themeColor="accent5" w:themeTint="99"/>
        </w:tcBorders>
      </w:tcPr>
    </w:tblStylePr>
    <w:tblStylePr w:type="nwCell">
      <w:tblPr/>
      <w:tcPr>
        <w:tcBorders>
          <w:bottom w:val="single" w:sz="4" w:space="0" w:color="CBE9F6" w:themeColor="accent5" w:themeTint="99"/>
        </w:tcBorders>
      </w:tcPr>
    </w:tblStylePr>
    <w:tblStylePr w:type="seCell">
      <w:tblPr/>
      <w:tcPr>
        <w:tcBorders>
          <w:top w:val="single" w:sz="4" w:space="0" w:color="CBE9F6" w:themeColor="accent5" w:themeTint="99"/>
        </w:tcBorders>
      </w:tcPr>
    </w:tblStylePr>
    <w:tblStylePr w:type="swCell">
      <w:tblPr/>
      <w:tcPr>
        <w:tcBorders>
          <w:top w:val="single" w:sz="4" w:space="0" w:color="CBE9F6" w:themeColor="accent5" w:themeTint="99"/>
        </w:tcBorders>
      </w:tcPr>
    </w:tblStylePr>
  </w:style>
  <w:style w:type="table" w:styleId="GridTable7Colorful-Accent6">
    <w:name w:val="Grid Table 7 Colorful Accent 6"/>
    <w:basedOn w:val="TableNormal"/>
    <w:uiPriority w:val="52"/>
    <w:semiHidden/>
    <w:rsid w:val="0058629F"/>
    <w:rPr>
      <w:color w:val="86C339" w:themeColor="accent6" w:themeShade="BF"/>
    </w:rPr>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insideV w:val="single" w:sz="4" w:space="0" w:color="CEE7A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bottom w:val="single" w:sz="4" w:space="0" w:color="CEE7AE" w:themeColor="accent6" w:themeTint="99"/>
        </w:tcBorders>
      </w:tcPr>
    </w:tblStylePr>
    <w:tblStylePr w:type="nwCell">
      <w:tblPr/>
      <w:tcPr>
        <w:tcBorders>
          <w:bottom w:val="single" w:sz="4" w:space="0" w:color="CEE7AE" w:themeColor="accent6" w:themeTint="99"/>
        </w:tcBorders>
      </w:tcPr>
    </w:tblStylePr>
    <w:tblStylePr w:type="seCell">
      <w:tblPr/>
      <w:tcPr>
        <w:tcBorders>
          <w:top w:val="single" w:sz="4" w:space="0" w:color="CEE7AE" w:themeColor="accent6" w:themeTint="99"/>
        </w:tcBorders>
      </w:tcPr>
    </w:tblStylePr>
    <w:tblStylePr w:type="swCell">
      <w:tblPr/>
      <w:tcPr>
        <w:tcBorders>
          <w:top w:val="single" w:sz="4" w:space="0" w:color="CEE7AE"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insideH w:val="single" w:sz="8" w:space="0" w:color="71C5E8" w:themeColor="accent1"/>
        <w:insideV w:val="single" w:sz="8" w:space="0" w:color="71C5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C5E8" w:themeColor="accent1"/>
          <w:left w:val="single" w:sz="8" w:space="0" w:color="71C5E8" w:themeColor="accent1"/>
          <w:bottom w:val="single" w:sz="18" w:space="0" w:color="71C5E8" w:themeColor="accent1"/>
          <w:right w:val="single" w:sz="8" w:space="0" w:color="71C5E8" w:themeColor="accent1"/>
          <w:insideH w:val="nil"/>
          <w:insideV w:val="single" w:sz="8" w:space="0" w:color="71C5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C5E8" w:themeColor="accent1"/>
          <w:left w:val="single" w:sz="8" w:space="0" w:color="71C5E8" w:themeColor="accent1"/>
          <w:bottom w:val="single" w:sz="8" w:space="0" w:color="71C5E8" w:themeColor="accent1"/>
          <w:right w:val="single" w:sz="8" w:space="0" w:color="71C5E8" w:themeColor="accent1"/>
          <w:insideH w:val="nil"/>
          <w:insideV w:val="single" w:sz="8" w:space="0" w:color="71C5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tblStylePr w:type="band1Vert">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shd w:val="clear" w:color="auto" w:fill="DBF0F9" w:themeFill="accent1" w:themeFillTint="3F"/>
      </w:tcPr>
    </w:tblStylePr>
    <w:tblStylePr w:type="band1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insideV w:val="single" w:sz="8" w:space="0" w:color="71C5E8" w:themeColor="accent1"/>
        </w:tcBorders>
        <w:shd w:val="clear" w:color="auto" w:fill="DBF0F9" w:themeFill="accent1" w:themeFillTint="3F"/>
      </w:tcPr>
    </w:tblStylePr>
    <w:tblStylePr w:type="band2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insideV w:val="single" w:sz="8" w:space="0" w:color="71C5E8"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insideH w:val="single" w:sz="8" w:space="0" w:color="78BE20" w:themeColor="accent2"/>
        <w:insideV w:val="single" w:sz="8" w:space="0" w:color="78BE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BE20" w:themeColor="accent2"/>
          <w:left w:val="single" w:sz="8" w:space="0" w:color="78BE20" w:themeColor="accent2"/>
          <w:bottom w:val="single" w:sz="18" w:space="0" w:color="78BE20" w:themeColor="accent2"/>
          <w:right w:val="single" w:sz="8" w:space="0" w:color="78BE20" w:themeColor="accent2"/>
          <w:insideH w:val="nil"/>
          <w:insideV w:val="single" w:sz="8" w:space="0" w:color="78BE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BE20" w:themeColor="accent2"/>
          <w:left w:val="single" w:sz="8" w:space="0" w:color="78BE20" w:themeColor="accent2"/>
          <w:bottom w:val="single" w:sz="8" w:space="0" w:color="78BE20" w:themeColor="accent2"/>
          <w:right w:val="single" w:sz="8" w:space="0" w:color="78BE20" w:themeColor="accent2"/>
          <w:insideH w:val="nil"/>
          <w:insideV w:val="single" w:sz="8" w:space="0" w:color="78BE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tblStylePr w:type="band1Vert">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shd w:val="clear" w:color="auto" w:fill="DEF4C1" w:themeFill="accent2" w:themeFillTint="3F"/>
      </w:tcPr>
    </w:tblStylePr>
    <w:tblStylePr w:type="band1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insideV w:val="single" w:sz="8" w:space="0" w:color="78BE20" w:themeColor="accent2"/>
        </w:tcBorders>
        <w:shd w:val="clear" w:color="auto" w:fill="DEF4C1" w:themeFill="accent2" w:themeFillTint="3F"/>
      </w:tcPr>
    </w:tblStylePr>
    <w:tblStylePr w:type="band2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insideV w:val="single" w:sz="8" w:space="0" w:color="78BE20"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insideH w:val="single" w:sz="8" w:space="0" w:color="AADCF1" w:themeColor="accent5"/>
        <w:insideV w:val="single" w:sz="8" w:space="0" w:color="AADC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CF1" w:themeColor="accent5"/>
          <w:left w:val="single" w:sz="8" w:space="0" w:color="AADCF1" w:themeColor="accent5"/>
          <w:bottom w:val="single" w:sz="18" w:space="0" w:color="AADCF1" w:themeColor="accent5"/>
          <w:right w:val="single" w:sz="8" w:space="0" w:color="AADCF1" w:themeColor="accent5"/>
          <w:insideH w:val="nil"/>
          <w:insideV w:val="single" w:sz="8" w:space="0" w:color="AADC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CF1" w:themeColor="accent5"/>
          <w:left w:val="single" w:sz="8" w:space="0" w:color="AADCF1" w:themeColor="accent5"/>
          <w:bottom w:val="single" w:sz="8" w:space="0" w:color="AADCF1" w:themeColor="accent5"/>
          <w:right w:val="single" w:sz="8" w:space="0" w:color="AADCF1" w:themeColor="accent5"/>
          <w:insideH w:val="nil"/>
          <w:insideV w:val="single" w:sz="8" w:space="0" w:color="AADC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tblStylePr w:type="band1Vert">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shd w:val="clear" w:color="auto" w:fill="E9F6FB" w:themeFill="accent5" w:themeFillTint="3F"/>
      </w:tcPr>
    </w:tblStylePr>
    <w:tblStylePr w:type="band1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insideV w:val="single" w:sz="8" w:space="0" w:color="AADCF1" w:themeColor="accent5"/>
        </w:tcBorders>
        <w:shd w:val="clear" w:color="auto" w:fill="E9F6FB" w:themeFill="accent5" w:themeFillTint="3F"/>
      </w:tcPr>
    </w:tblStylePr>
    <w:tblStylePr w:type="band2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insideV w:val="single" w:sz="8" w:space="0" w:color="AADCF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insideH w:val="single" w:sz="8" w:space="0" w:color="AED879" w:themeColor="accent6"/>
        <w:insideV w:val="single" w:sz="8" w:space="0" w:color="AED8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D879" w:themeColor="accent6"/>
          <w:left w:val="single" w:sz="8" w:space="0" w:color="AED879" w:themeColor="accent6"/>
          <w:bottom w:val="single" w:sz="18" w:space="0" w:color="AED879" w:themeColor="accent6"/>
          <w:right w:val="single" w:sz="8" w:space="0" w:color="AED879" w:themeColor="accent6"/>
          <w:insideH w:val="nil"/>
          <w:insideV w:val="single" w:sz="8" w:space="0" w:color="AED8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D879" w:themeColor="accent6"/>
          <w:left w:val="single" w:sz="8" w:space="0" w:color="AED879" w:themeColor="accent6"/>
          <w:bottom w:val="single" w:sz="8" w:space="0" w:color="AED879" w:themeColor="accent6"/>
          <w:right w:val="single" w:sz="8" w:space="0" w:color="AED879" w:themeColor="accent6"/>
          <w:insideH w:val="nil"/>
          <w:insideV w:val="single" w:sz="8" w:space="0" w:color="AED8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tblStylePr w:type="band1Vert">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shd w:val="clear" w:color="auto" w:fill="EAF5DD" w:themeFill="accent6" w:themeFillTint="3F"/>
      </w:tcPr>
    </w:tblStylePr>
    <w:tblStylePr w:type="band1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insideV w:val="single" w:sz="8" w:space="0" w:color="AED879" w:themeColor="accent6"/>
        </w:tcBorders>
        <w:shd w:val="clear" w:color="auto" w:fill="EAF5DD" w:themeFill="accent6" w:themeFillTint="3F"/>
      </w:tcPr>
    </w:tblStylePr>
    <w:tblStylePr w:type="band2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insideV w:val="single" w:sz="8" w:space="0" w:color="AED879"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tblBorders>
    </w:tblPr>
    <w:tblStylePr w:type="firstRow">
      <w:pPr>
        <w:spacing w:before="0" w:after="0" w:line="240" w:lineRule="auto"/>
      </w:pPr>
      <w:rPr>
        <w:b/>
        <w:bCs/>
        <w:color w:val="FFFFFF" w:themeColor="background1"/>
      </w:rPr>
      <w:tblPr/>
      <w:tcPr>
        <w:shd w:val="clear" w:color="auto" w:fill="71C5E8" w:themeFill="accent1"/>
      </w:tcPr>
    </w:tblStylePr>
    <w:tblStylePr w:type="lastRow">
      <w:pPr>
        <w:spacing w:before="0" w:after="0" w:line="240" w:lineRule="auto"/>
      </w:pPr>
      <w:rPr>
        <w:b/>
        <w:bCs/>
      </w:rPr>
      <w:tblPr/>
      <w:tcPr>
        <w:tcBorders>
          <w:top w:val="double" w:sz="6" w:space="0" w:color="71C5E8" w:themeColor="accent1"/>
          <w:left w:val="single" w:sz="8" w:space="0" w:color="71C5E8" w:themeColor="accent1"/>
          <w:bottom w:val="single" w:sz="8" w:space="0" w:color="71C5E8" w:themeColor="accent1"/>
          <w:right w:val="single" w:sz="8" w:space="0" w:color="71C5E8" w:themeColor="accent1"/>
        </w:tcBorders>
      </w:tcPr>
    </w:tblStylePr>
    <w:tblStylePr w:type="firstCol">
      <w:rPr>
        <w:b/>
        <w:bCs/>
      </w:rPr>
    </w:tblStylePr>
    <w:tblStylePr w:type="lastCol">
      <w:rPr>
        <w:b/>
        <w:bCs/>
      </w:rPr>
    </w:tblStylePr>
    <w:tblStylePr w:type="band1Vert">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tblStylePr w:type="band1Horz">
      <w:tblPr/>
      <w:tcPr>
        <w:tcBorders>
          <w:top w:val="single" w:sz="8" w:space="0" w:color="71C5E8" w:themeColor="accent1"/>
          <w:left w:val="single" w:sz="8" w:space="0" w:color="71C5E8" w:themeColor="accent1"/>
          <w:bottom w:val="single" w:sz="8" w:space="0" w:color="71C5E8" w:themeColor="accent1"/>
          <w:right w:val="single" w:sz="8" w:space="0" w:color="71C5E8"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tblBorders>
    </w:tblPr>
    <w:tblStylePr w:type="firstRow">
      <w:pPr>
        <w:spacing w:before="0" w:after="0" w:line="240" w:lineRule="auto"/>
      </w:pPr>
      <w:rPr>
        <w:b/>
        <w:bCs/>
        <w:color w:val="FFFFFF" w:themeColor="background1"/>
      </w:rPr>
      <w:tblPr/>
      <w:tcPr>
        <w:shd w:val="clear" w:color="auto" w:fill="78BE20" w:themeFill="accent2"/>
      </w:tcPr>
    </w:tblStylePr>
    <w:tblStylePr w:type="lastRow">
      <w:pPr>
        <w:spacing w:before="0" w:after="0" w:line="240" w:lineRule="auto"/>
      </w:pPr>
      <w:rPr>
        <w:b/>
        <w:bCs/>
      </w:rPr>
      <w:tblPr/>
      <w:tcPr>
        <w:tcBorders>
          <w:top w:val="double" w:sz="6" w:space="0" w:color="78BE20" w:themeColor="accent2"/>
          <w:left w:val="single" w:sz="8" w:space="0" w:color="78BE20" w:themeColor="accent2"/>
          <w:bottom w:val="single" w:sz="8" w:space="0" w:color="78BE20" w:themeColor="accent2"/>
          <w:right w:val="single" w:sz="8" w:space="0" w:color="78BE20" w:themeColor="accent2"/>
        </w:tcBorders>
      </w:tcPr>
    </w:tblStylePr>
    <w:tblStylePr w:type="firstCol">
      <w:rPr>
        <w:b/>
        <w:bCs/>
      </w:rPr>
    </w:tblStylePr>
    <w:tblStylePr w:type="lastCol">
      <w:rPr>
        <w:b/>
        <w:bCs/>
      </w:rPr>
    </w:tblStylePr>
    <w:tblStylePr w:type="band1Vert">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tblStylePr w:type="band1Horz">
      <w:tblPr/>
      <w:tcPr>
        <w:tcBorders>
          <w:top w:val="single" w:sz="8" w:space="0" w:color="78BE20" w:themeColor="accent2"/>
          <w:left w:val="single" w:sz="8" w:space="0" w:color="78BE20" w:themeColor="accent2"/>
          <w:bottom w:val="single" w:sz="8" w:space="0" w:color="78BE20" w:themeColor="accent2"/>
          <w:right w:val="single" w:sz="8" w:space="0" w:color="78BE20"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tblBorders>
    </w:tblPr>
    <w:tblStylePr w:type="firstRow">
      <w:pPr>
        <w:spacing w:before="0" w:after="0" w:line="240" w:lineRule="auto"/>
      </w:pPr>
      <w:rPr>
        <w:b/>
        <w:bCs/>
        <w:color w:val="FFFFFF" w:themeColor="background1"/>
      </w:rPr>
      <w:tblPr/>
      <w:tcPr>
        <w:shd w:val="clear" w:color="auto" w:fill="AADCF1" w:themeFill="accent5"/>
      </w:tcPr>
    </w:tblStylePr>
    <w:tblStylePr w:type="lastRow">
      <w:pPr>
        <w:spacing w:before="0" w:after="0" w:line="240" w:lineRule="auto"/>
      </w:pPr>
      <w:rPr>
        <w:b/>
        <w:bCs/>
      </w:rPr>
      <w:tblPr/>
      <w:tcPr>
        <w:tcBorders>
          <w:top w:val="double" w:sz="6" w:space="0" w:color="AADCF1" w:themeColor="accent5"/>
          <w:left w:val="single" w:sz="8" w:space="0" w:color="AADCF1" w:themeColor="accent5"/>
          <w:bottom w:val="single" w:sz="8" w:space="0" w:color="AADCF1" w:themeColor="accent5"/>
          <w:right w:val="single" w:sz="8" w:space="0" w:color="AADCF1" w:themeColor="accent5"/>
        </w:tcBorders>
      </w:tcPr>
    </w:tblStylePr>
    <w:tblStylePr w:type="firstCol">
      <w:rPr>
        <w:b/>
        <w:bCs/>
      </w:rPr>
    </w:tblStylePr>
    <w:tblStylePr w:type="lastCol">
      <w:rPr>
        <w:b/>
        <w:bCs/>
      </w:rPr>
    </w:tblStylePr>
    <w:tblStylePr w:type="band1Vert">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tblStylePr w:type="band1Horz">
      <w:tblPr/>
      <w:tcPr>
        <w:tcBorders>
          <w:top w:val="single" w:sz="8" w:space="0" w:color="AADCF1" w:themeColor="accent5"/>
          <w:left w:val="single" w:sz="8" w:space="0" w:color="AADCF1" w:themeColor="accent5"/>
          <w:bottom w:val="single" w:sz="8" w:space="0" w:color="AADCF1" w:themeColor="accent5"/>
          <w:right w:val="single" w:sz="8" w:space="0" w:color="AADCF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tblBorders>
    </w:tblPr>
    <w:tblStylePr w:type="firstRow">
      <w:pPr>
        <w:spacing w:before="0" w:after="0" w:line="240" w:lineRule="auto"/>
      </w:pPr>
      <w:rPr>
        <w:b/>
        <w:bCs/>
        <w:color w:val="FFFFFF" w:themeColor="background1"/>
      </w:rPr>
      <w:tblPr/>
      <w:tcPr>
        <w:shd w:val="clear" w:color="auto" w:fill="AED879" w:themeFill="accent6"/>
      </w:tcPr>
    </w:tblStylePr>
    <w:tblStylePr w:type="lastRow">
      <w:pPr>
        <w:spacing w:before="0" w:after="0" w:line="240" w:lineRule="auto"/>
      </w:pPr>
      <w:rPr>
        <w:b/>
        <w:bCs/>
      </w:rPr>
      <w:tblPr/>
      <w:tcPr>
        <w:tcBorders>
          <w:top w:val="double" w:sz="6" w:space="0" w:color="AED879" w:themeColor="accent6"/>
          <w:left w:val="single" w:sz="8" w:space="0" w:color="AED879" w:themeColor="accent6"/>
          <w:bottom w:val="single" w:sz="8" w:space="0" w:color="AED879" w:themeColor="accent6"/>
          <w:right w:val="single" w:sz="8" w:space="0" w:color="AED879" w:themeColor="accent6"/>
        </w:tcBorders>
      </w:tcPr>
    </w:tblStylePr>
    <w:tblStylePr w:type="firstCol">
      <w:rPr>
        <w:b/>
        <w:bCs/>
      </w:rPr>
    </w:tblStylePr>
    <w:tblStylePr w:type="lastCol">
      <w:rPr>
        <w:b/>
        <w:bCs/>
      </w:rPr>
    </w:tblStylePr>
    <w:tblStylePr w:type="band1Vert">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tblStylePr w:type="band1Horz">
      <w:tblPr/>
      <w:tcPr>
        <w:tcBorders>
          <w:top w:val="single" w:sz="8" w:space="0" w:color="AED879" w:themeColor="accent6"/>
          <w:left w:val="single" w:sz="8" w:space="0" w:color="AED879" w:themeColor="accent6"/>
          <w:bottom w:val="single" w:sz="8" w:space="0" w:color="AED879" w:themeColor="accent6"/>
          <w:right w:val="single" w:sz="8" w:space="0" w:color="AED879"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26A6DC" w:themeColor="accent1" w:themeShade="BF"/>
    </w:rPr>
    <w:tblPr>
      <w:tblStyleRowBandSize w:val="1"/>
      <w:tblStyleColBandSize w:val="1"/>
      <w:tblBorders>
        <w:top w:val="single" w:sz="8" w:space="0" w:color="71C5E8" w:themeColor="accent1"/>
        <w:bottom w:val="single" w:sz="8" w:space="0" w:color="71C5E8" w:themeColor="accent1"/>
      </w:tblBorders>
    </w:tblPr>
    <w:tblStylePr w:type="firstRow">
      <w:pPr>
        <w:spacing w:before="0" w:after="0" w:line="240" w:lineRule="auto"/>
      </w:pPr>
      <w:rPr>
        <w:b/>
        <w:bCs/>
      </w:rPr>
      <w:tblPr/>
      <w:tcPr>
        <w:tcBorders>
          <w:top w:val="single" w:sz="8" w:space="0" w:color="71C5E8" w:themeColor="accent1"/>
          <w:left w:val="nil"/>
          <w:bottom w:val="single" w:sz="8" w:space="0" w:color="71C5E8" w:themeColor="accent1"/>
          <w:right w:val="nil"/>
          <w:insideH w:val="nil"/>
          <w:insideV w:val="nil"/>
        </w:tcBorders>
      </w:tcPr>
    </w:tblStylePr>
    <w:tblStylePr w:type="lastRow">
      <w:pPr>
        <w:spacing w:before="0" w:after="0" w:line="240" w:lineRule="auto"/>
      </w:pPr>
      <w:rPr>
        <w:b/>
        <w:bCs/>
      </w:rPr>
      <w:tblPr/>
      <w:tcPr>
        <w:tcBorders>
          <w:top w:val="single" w:sz="8" w:space="0" w:color="71C5E8" w:themeColor="accent1"/>
          <w:left w:val="nil"/>
          <w:bottom w:val="single" w:sz="8" w:space="0" w:color="71C5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0F9" w:themeFill="accent1" w:themeFillTint="3F"/>
      </w:tcPr>
    </w:tblStylePr>
    <w:tblStylePr w:type="band1Horz">
      <w:tblPr/>
      <w:tcPr>
        <w:tcBorders>
          <w:left w:val="nil"/>
          <w:right w:val="nil"/>
          <w:insideH w:val="nil"/>
          <w:insideV w:val="nil"/>
        </w:tcBorders>
        <w:shd w:val="clear" w:color="auto" w:fill="DBF0F9" w:themeFill="accent1" w:themeFillTint="3F"/>
      </w:tcPr>
    </w:tblStylePr>
  </w:style>
  <w:style w:type="table" w:styleId="LightShading-Accent2">
    <w:name w:val="Light Shading Accent 2"/>
    <w:basedOn w:val="TableNormal"/>
    <w:uiPriority w:val="60"/>
    <w:semiHidden/>
    <w:rsid w:val="0058629F"/>
    <w:rPr>
      <w:color w:val="598E18" w:themeColor="accent2" w:themeShade="BF"/>
    </w:rPr>
    <w:tblPr>
      <w:tblStyleRowBandSize w:val="1"/>
      <w:tblStyleColBandSize w:val="1"/>
      <w:tblBorders>
        <w:top w:val="single" w:sz="8" w:space="0" w:color="78BE20" w:themeColor="accent2"/>
        <w:bottom w:val="single" w:sz="8" w:space="0" w:color="78BE20" w:themeColor="accent2"/>
      </w:tblBorders>
    </w:tblPr>
    <w:tblStylePr w:type="firstRow">
      <w:pPr>
        <w:spacing w:before="0" w:after="0" w:line="240" w:lineRule="auto"/>
      </w:pPr>
      <w:rPr>
        <w:b/>
        <w:bCs/>
      </w:rPr>
      <w:tblPr/>
      <w:tcPr>
        <w:tcBorders>
          <w:top w:val="single" w:sz="8" w:space="0" w:color="78BE20" w:themeColor="accent2"/>
          <w:left w:val="nil"/>
          <w:bottom w:val="single" w:sz="8" w:space="0" w:color="78BE20" w:themeColor="accent2"/>
          <w:right w:val="nil"/>
          <w:insideH w:val="nil"/>
          <w:insideV w:val="nil"/>
        </w:tcBorders>
      </w:tcPr>
    </w:tblStylePr>
    <w:tblStylePr w:type="lastRow">
      <w:pPr>
        <w:spacing w:before="0" w:after="0" w:line="240" w:lineRule="auto"/>
      </w:pPr>
      <w:rPr>
        <w:b/>
        <w:bCs/>
      </w:rPr>
      <w:tblPr/>
      <w:tcPr>
        <w:tcBorders>
          <w:top w:val="single" w:sz="8" w:space="0" w:color="78BE20" w:themeColor="accent2"/>
          <w:left w:val="nil"/>
          <w:bottom w:val="single" w:sz="8" w:space="0" w:color="78BE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C1" w:themeFill="accent2" w:themeFillTint="3F"/>
      </w:tcPr>
    </w:tblStylePr>
    <w:tblStylePr w:type="band1Horz">
      <w:tblPr/>
      <w:tcPr>
        <w:tcBorders>
          <w:left w:val="nil"/>
          <w:right w:val="nil"/>
          <w:insideH w:val="nil"/>
          <w:insideV w:val="nil"/>
        </w:tcBorders>
        <w:shd w:val="clear" w:color="auto" w:fill="DEF4C1"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51B7E2" w:themeColor="accent5" w:themeShade="BF"/>
    </w:rPr>
    <w:tblPr>
      <w:tblStyleRowBandSize w:val="1"/>
      <w:tblStyleColBandSize w:val="1"/>
      <w:tblBorders>
        <w:top w:val="single" w:sz="8" w:space="0" w:color="AADCF1" w:themeColor="accent5"/>
        <w:bottom w:val="single" w:sz="8" w:space="0" w:color="AADCF1" w:themeColor="accent5"/>
      </w:tblBorders>
    </w:tblPr>
    <w:tblStylePr w:type="firstRow">
      <w:pPr>
        <w:spacing w:before="0" w:after="0" w:line="240" w:lineRule="auto"/>
      </w:pPr>
      <w:rPr>
        <w:b/>
        <w:bCs/>
      </w:rPr>
      <w:tblPr/>
      <w:tcPr>
        <w:tcBorders>
          <w:top w:val="single" w:sz="8" w:space="0" w:color="AADCF1" w:themeColor="accent5"/>
          <w:left w:val="nil"/>
          <w:bottom w:val="single" w:sz="8" w:space="0" w:color="AADCF1" w:themeColor="accent5"/>
          <w:right w:val="nil"/>
          <w:insideH w:val="nil"/>
          <w:insideV w:val="nil"/>
        </w:tcBorders>
      </w:tcPr>
    </w:tblStylePr>
    <w:tblStylePr w:type="lastRow">
      <w:pPr>
        <w:spacing w:before="0" w:after="0" w:line="240" w:lineRule="auto"/>
      </w:pPr>
      <w:rPr>
        <w:b/>
        <w:bCs/>
      </w:rPr>
      <w:tblPr/>
      <w:tcPr>
        <w:tcBorders>
          <w:top w:val="single" w:sz="8" w:space="0" w:color="AADCF1" w:themeColor="accent5"/>
          <w:left w:val="nil"/>
          <w:bottom w:val="single" w:sz="8" w:space="0" w:color="AADC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6FB" w:themeFill="accent5" w:themeFillTint="3F"/>
      </w:tcPr>
    </w:tblStylePr>
    <w:tblStylePr w:type="band1Horz">
      <w:tblPr/>
      <w:tcPr>
        <w:tcBorders>
          <w:left w:val="nil"/>
          <w:right w:val="nil"/>
          <w:insideH w:val="nil"/>
          <w:insideV w:val="nil"/>
        </w:tcBorders>
        <w:shd w:val="clear" w:color="auto" w:fill="E9F6FB" w:themeFill="accent5" w:themeFillTint="3F"/>
      </w:tcPr>
    </w:tblStylePr>
  </w:style>
  <w:style w:type="table" w:styleId="LightShading-Accent6">
    <w:name w:val="Light Shading Accent 6"/>
    <w:basedOn w:val="TableNormal"/>
    <w:uiPriority w:val="60"/>
    <w:semiHidden/>
    <w:rsid w:val="0058629F"/>
    <w:rPr>
      <w:color w:val="86C339" w:themeColor="accent6" w:themeShade="BF"/>
    </w:rPr>
    <w:tblPr>
      <w:tblStyleRowBandSize w:val="1"/>
      <w:tblStyleColBandSize w:val="1"/>
      <w:tblBorders>
        <w:top w:val="single" w:sz="8" w:space="0" w:color="AED879" w:themeColor="accent6"/>
        <w:bottom w:val="single" w:sz="8" w:space="0" w:color="AED879" w:themeColor="accent6"/>
      </w:tblBorders>
    </w:tblPr>
    <w:tblStylePr w:type="firstRow">
      <w:pPr>
        <w:spacing w:before="0" w:after="0" w:line="240" w:lineRule="auto"/>
      </w:pPr>
      <w:rPr>
        <w:b/>
        <w:bCs/>
      </w:rPr>
      <w:tblPr/>
      <w:tcPr>
        <w:tcBorders>
          <w:top w:val="single" w:sz="8" w:space="0" w:color="AED879" w:themeColor="accent6"/>
          <w:left w:val="nil"/>
          <w:bottom w:val="single" w:sz="8" w:space="0" w:color="AED879" w:themeColor="accent6"/>
          <w:right w:val="nil"/>
          <w:insideH w:val="nil"/>
          <w:insideV w:val="nil"/>
        </w:tcBorders>
      </w:tcPr>
    </w:tblStylePr>
    <w:tblStylePr w:type="lastRow">
      <w:pPr>
        <w:spacing w:before="0" w:after="0" w:line="240" w:lineRule="auto"/>
      </w:pPr>
      <w:rPr>
        <w:b/>
        <w:bCs/>
      </w:rPr>
      <w:tblPr/>
      <w:tcPr>
        <w:tcBorders>
          <w:top w:val="single" w:sz="8" w:space="0" w:color="AED879" w:themeColor="accent6"/>
          <w:left w:val="nil"/>
          <w:bottom w:val="single" w:sz="8" w:space="0" w:color="AED8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5DD" w:themeFill="accent6" w:themeFillTint="3F"/>
      </w:tcPr>
    </w:tblStylePr>
    <w:tblStylePr w:type="band1Horz">
      <w:tblPr/>
      <w:tcPr>
        <w:tcBorders>
          <w:left w:val="nil"/>
          <w:right w:val="nil"/>
          <w:insideH w:val="nil"/>
          <w:insideV w:val="nil"/>
        </w:tcBorders>
        <w:shd w:val="clear" w:color="auto" w:fill="EAF5DD"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A9DCF1" w:themeColor="accent1" w:themeTint="99"/>
        </w:tcBorders>
      </w:tcPr>
    </w:tblStylePr>
    <w:tblStylePr w:type="lastRow">
      <w:rPr>
        <w:b/>
        <w:bCs/>
      </w:rPr>
      <w:tblPr/>
      <w:tcPr>
        <w:tcBorders>
          <w:top w:val="sing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AFE66A" w:themeColor="accent2" w:themeTint="99"/>
        </w:tcBorders>
      </w:tcPr>
    </w:tblStylePr>
    <w:tblStylePr w:type="lastRow">
      <w:rPr>
        <w:b/>
        <w:bCs/>
      </w:rPr>
      <w:tblPr/>
      <w:tcPr>
        <w:tcBorders>
          <w:top w:val="sing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CBE9F6" w:themeColor="accent5" w:themeTint="99"/>
        </w:tcBorders>
      </w:tcPr>
    </w:tblStylePr>
    <w:tblStylePr w:type="lastRow">
      <w:rPr>
        <w:b/>
        <w:bCs/>
      </w:rPr>
      <w:tblPr/>
      <w:tcPr>
        <w:tcBorders>
          <w:top w:val="sing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CEE7AE" w:themeColor="accent6" w:themeTint="99"/>
        </w:tcBorders>
      </w:tcPr>
    </w:tblStylePr>
    <w:tblStylePr w:type="lastRow">
      <w:rPr>
        <w:b/>
        <w:bCs/>
      </w:rPr>
      <w:tblPr/>
      <w:tcPr>
        <w:tcBorders>
          <w:top w:val="sing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A9DCF1" w:themeColor="accent1" w:themeTint="99"/>
        <w:bottom w:val="single" w:sz="4" w:space="0" w:color="A9DCF1" w:themeColor="accent1" w:themeTint="99"/>
        <w:insideH w:val="single" w:sz="4" w:space="0" w:color="A9DCF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AFE66A" w:themeColor="accent2" w:themeTint="99"/>
        <w:bottom w:val="single" w:sz="4" w:space="0" w:color="AFE66A" w:themeColor="accent2" w:themeTint="99"/>
        <w:insideH w:val="single" w:sz="4" w:space="0" w:color="AFE66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CBE9F6" w:themeColor="accent5" w:themeTint="99"/>
        <w:bottom w:val="single" w:sz="4" w:space="0" w:color="CBE9F6" w:themeColor="accent5" w:themeTint="99"/>
        <w:insideH w:val="single" w:sz="4" w:space="0" w:color="CBE9F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CEE7AE" w:themeColor="accent6" w:themeTint="99"/>
        <w:bottom w:val="single" w:sz="4" w:space="0" w:color="CEE7AE" w:themeColor="accent6" w:themeTint="99"/>
        <w:insideH w:val="single" w:sz="4" w:space="0" w:color="CEE7A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71C5E8" w:themeColor="accent1"/>
        <w:left w:val="single" w:sz="4" w:space="0" w:color="71C5E8" w:themeColor="accent1"/>
        <w:bottom w:val="single" w:sz="4" w:space="0" w:color="71C5E8" w:themeColor="accent1"/>
        <w:right w:val="single" w:sz="4" w:space="0" w:color="71C5E8" w:themeColor="accent1"/>
      </w:tblBorders>
    </w:tblPr>
    <w:tblStylePr w:type="firstRow">
      <w:rPr>
        <w:b/>
        <w:bCs/>
        <w:color w:val="FFFFFF" w:themeColor="background1"/>
      </w:rPr>
      <w:tblPr/>
      <w:tcPr>
        <w:shd w:val="clear" w:color="auto" w:fill="71C5E8" w:themeFill="accent1"/>
      </w:tcPr>
    </w:tblStylePr>
    <w:tblStylePr w:type="lastRow">
      <w:rPr>
        <w:b/>
        <w:bCs/>
      </w:rPr>
      <w:tblPr/>
      <w:tcPr>
        <w:tcBorders>
          <w:top w:val="double" w:sz="4" w:space="0" w:color="71C5E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C5E8" w:themeColor="accent1"/>
          <w:right w:val="single" w:sz="4" w:space="0" w:color="71C5E8" w:themeColor="accent1"/>
        </w:tcBorders>
      </w:tcPr>
    </w:tblStylePr>
    <w:tblStylePr w:type="band1Horz">
      <w:tblPr/>
      <w:tcPr>
        <w:tcBorders>
          <w:top w:val="single" w:sz="4" w:space="0" w:color="71C5E8" w:themeColor="accent1"/>
          <w:bottom w:val="single" w:sz="4" w:space="0" w:color="71C5E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C5E8" w:themeColor="accent1"/>
          <w:left w:val="nil"/>
        </w:tcBorders>
      </w:tcPr>
    </w:tblStylePr>
    <w:tblStylePr w:type="swCell">
      <w:tblPr/>
      <w:tcPr>
        <w:tcBorders>
          <w:top w:val="double" w:sz="4" w:space="0" w:color="71C5E8"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78BE20" w:themeColor="accent2"/>
        <w:left w:val="single" w:sz="4" w:space="0" w:color="78BE20" w:themeColor="accent2"/>
        <w:bottom w:val="single" w:sz="4" w:space="0" w:color="78BE20" w:themeColor="accent2"/>
        <w:right w:val="single" w:sz="4" w:space="0" w:color="78BE20" w:themeColor="accent2"/>
      </w:tblBorders>
    </w:tblPr>
    <w:tblStylePr w:type="firstRow">
      <w:rPr>
        <w:b/>
        <w:bCs/>
        <w:color w:val="FFFFFF" w:themeColor="background1"/>
      </w:rPr>
      <w:tblPr/>
      <w:tcPr>
        <w:shd w:val="clear" w:color="auto" w:fill="78BE20" w:themeFill="accent2"/>
      </w:tcPr>
    </w:tblStylePr>
    <w:tblStylePr w:type="lastRow">
      <w:rPr>
        <w:b/>
        <w:bCs/>
      </w:rPr>
      <w:tblPr/>
      <w:tcPr>
        <w:tcBorders>
          <w:top w:val="double" w:sz="4" w:space="0" w:color="78BE2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BE20" w:themeColor="accent2"/>
          <w:right w:val="single" w:sz="4" w:space="0" w:color="78BE20" w:themeColor="accent2"/>
        </w:tcBorders>
      </w:tcPr>
    </w:tblStylePr>
    <w:tblStylePr w:type="band1Horz">
      <w:tblPr/>
      <w:tcPr>
        <w:tcBorders>
          <w:top w:val="single" w:sz="4" w:space="0" w:color="78BE20" w:themeColor="accent2"/>
          <w:bottom w:val="single" w:sz="4" w:space="0" w:color="78BE2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BE20" w:themeColor="accent2"/>
          <w:left w:val="nil"/>
        </w:tcBorders>
      </w:tcPr>
    </w:tblStylePr>
    <w:tblStylePr w:type="swCell">
      <w:tblPr/>
      <w:tcPr>
        <w:tcBorders>
          <w:top w:val="double" w:sz="4" w:space="0" w:color="78BE20"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AADCF1" w:themeColor="accent5"/>
        <w:left w:val="single" w:sz="4" w:space="0" w:color="AADCF1" w:themeColor="accent5"/>
        <w:bottom w:val="single" w:sz="4" w:space="0" w:color="AADCF1" w:themeColor="accent5"/>
        <w:right w:val="single" w:sz="4" w:space="0" w:color="AADCF1" w:themeColor="accent5"/>
      </w:tblBorders>
    </w:tblPr>
    <w:tblStylePr w:type="firstRow">
      <w:rPr>
        <w:b/>
        <w:bCs/>
        <w:color w:val="FFFFFF" w:themeColor="background1"/>
      </w:rPr>
      <w:tblPr/>
      <w:tcPr>
        <w:shd w:val="clear" w:color="auto" w:fill="AADCF1" w:themeFill="accent5"/>
      </w:tcPr>
    </w:tblStylePr>
    <w:tblStylePr w:type="lastRow">
      <w:rPr>
        <w:b/>
        <w:bCs/>
      </w:rPr>
      <w:tblPr/>
      <w:tcPr>
        <w:tcBorders>
          <w:top w:val="double" w:sz="4" w:space="0" w:color="AADCF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CF1" w:themeColor="accent5"/>
          <w:right w:val="single" w:sz="4" w:space="0" w:color="AADCF1" w:themeColor="accent5"/>
        </w:tcBorders>
      </w:tcPr>
    </w:tblStylePr>
    <w:tblStylePr w:type="band1Horz">
      <w:tblPr/>
      <w:tcPr>
        <w:tcBorders>
          <w:top w:val="single" w:sz="4" w:space="0" w:color="AADCF1" w:themeColor="accent5"/>
          <w:bottom w:val="single" w:sz="4" w:space="0" w:color="AADCF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CF1" w:themeColor="accent5"/>
          <w:left w:val="nil"/>
        </w:tcBorders>
      </w:tcPr>
    </w:tblStylePr>
    <w:tblStylePr w:type="swCell">
      <w:tblPr/>
      <w:tcPr>
        <w:tcBorders>
          <w:top w:val="double" w:sz="4" w:space="0" w:color="AADCF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AED879" w:themeColor="accent6"/>
        <w:left w:val="single" w:sz="4" w:space="0" w:color="AED879" w:themeColor="accent6"/>
        <w:bottom w:val="single" w:sz="4" w:space="0" w:color="AED879" w:themeColor="accent6"/>
        <w:right w:val="single" w:sz="4" w:space="0" w:color="AED879" w:themeColor="accent6"/>
      </w:tblBorders>
    </w:tblPr>
    <w:tblStylePr w:type="firstRow">
      <w:rPr>
        <w:b/>
        <w:bCs/>
        <w:color w:val="FFFFFF" w:themeColor="background1"/>
      </w:rPr>
      <w:tblPr/>
      <w:tcPr>
        <w:shd w:val="clear" w:color="auto" w:fill="AED879" w:themeFill="accent6"/>
      </w:tcPr>
    </w:tblStylePr>
    <w:tblStylePr w:type="lastRow">
      <w:rPr>
        <w:b/>
        <w:bCs/>
      </w:rPr>
      <w:tblPr/>
      <w:tcPr>
        <w:tcBorders>
          <w:top w:val="double" w:sz="4" w:space="0" w:color="AED87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ED879" w:themeColor="accent6"/>
          <w:right w:val="single" w:sz="4" w:space="0" w:color="AED879" w:themeColor="accent6"/>
        </w:tcBorders>
      </w:tcPr>
    </w:tblStylePr>
    <w:tblStylePr w:type="band1Horz">
      <w:tblPr/>
      <w:tcPr>
        <w:tcBorders>
          <w:top w:val="single" w:sz="4" w:space="0" w:color="AED879" w:themeColor="accent6"/>
          <w:bottom w:val="single" w:sz="4" w:space="0" w:color="AED87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ED879" w:themeColor="accent6"/>
          <w:left w:val="nil"/>
        </w:tcBorders>
      </w:tcPr>
    </w:tblStylePr>
    <w:tblStylePr w:type="swCell">
      <w:tblPr/>
      <w:tcPr>
        <w:tcBorders>
          <w:top w:val="double" w:sz="4" w:space="0" w:color="AED879"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A9DCF1" w:themeColor="accent1" w:themeTint="99"/>
        <w:left w:val="single" w:sz="4" w:space="0" w:color="A9DCF1" w:themeColor="accent1" w:themeTint="99"/>
        <w:bottom w:val="single" w:sz="4" w:space="0" w:color="A9DCF1" w:themeColor="accent1" w:themeTint="99"/>
        <w:right w:val="single" w:sz="4" w:space="0" w:color="A9DCF1" w:themeColor="accent1" w:themeTint="99"/>
        <w:insideH w:val="single" w:sz="4" w:space="0" w:color="A9DCF1" w:themeColor="accent1" w:themeTint="99"/>
      </w:tblBorders>
    </w:tblPr>
    <w:tblStylePr w:type="firstRow">
      <w:rPr>
        <w:b/>
        <w:bCs/>
        <w:color w:val="FFFFFF" w:themeColor="background1"/>
      </w:rPr>
      <w:tblPr/>
      <w:tcPr>
        <w:tcBorders>
          <w:top w:val="single" w:sz="4" w:space="0" w:color="71C5E8" w:themeColor="accent1"/>
          <w:left w:val="single" w:sz="4" w:space="0" w:color="71C5E8" w:themeColor="accent1"/>
          <w:bottom w:val="single" w:sz="4" w:space="0" w:color="71C5E8" w:themeColor="accent1"/>
          <w:right w:val="single" w:sz="4" w:space="0" w:color="71C5E8" w:themeColor="accent1"/>
          <w:insideH w:val="nil"/>
        </w:tcBorders>
        <w:shd w:val="clear" w:color="auto" w:fill="71C5E8" w:themeFill="accent1"/>
      </w:tcPr>
    </w:tblStylePr>
    <w:tblStylePr w:type="lastRow">
      <w:rPr>
        <w:b/>
        <w:bCs/>
      </w:rPr>
      <w:tblPr/>
      <w:tcPr>
        <w:tcBorders>
          <w:top w:val="double" w:sz="4" w:space="0" w:color="A9DCF1" w:themeColor="accent1" w:themeTint="99"/>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AFE66A" w:themeColor="accent2" w:themeTint="99"/>
        <w:left w:val="single" w:sz="4" w:space="0" w:color="AFE66A" w:themeColor="accent2" w:themeTint="99"/>
        <w:bottom w:val="single" w:sz="4" w:space="0" w:color="AFE66A" w:themeColor="accent2" w:themeTint="99"/>
        <w:right w:val="single" w:sz="4" w:space="0" w:color="AFE66A" w:themeColor="accent2" w:themeTint="99"/>
        <w:insideH w:val="single" w:sz="4" w:space="0" w:color="AFE66A" w:themeColor="accent2" w:themeTint="99"/>
      </w:tblBorders>
    </w:tblPr>
    <w:tblStylePr w:type="firstRow">
      <w:rPr>
        <w:b/>
        <w:bCs/>
        <w:color w:val="FFFFFF" w:themeColor="background1"/>
      </w:rPr>
      <w:tblPr/>
      <w:tcPr>
        <w:tcBorders>
          <w:top w:val="single" w:sz="4" w:space="0" w:color="78BE20" w:themeColor="accent2"/>
          <w:left w:val="single" w:sz="4" w:space="0" w:color="78BE20" w:themeColor="accent2"/>
          <w:bottom w:val="single" w:sz="4" w:space="0" w:color="78BE20" w:themeColor="accent2"/>
          <w:right w:val="single" w:sz="4" w:space="0" w:color="78BE20" w:themeColor="accent2"/>
          <w:insideH w:val="nil"/>
        </w:tcBorders>
        <w:shd w:val="clear" w:color="auto" w:fill="78BE20" w:themeFill="accent2"/>
      </w:tcPr>
    </w:tblStylePr>
    <w:tblStylePr w:type="lastRow">
      <w:rPr>
        <w:b/>
        <w:bCs/>
      </w:rPr>
      <w:tblPr/>
      <w:tcPr>
        <w:tcBorders>
          <w:top w:val="double" w:sz="4" w:space="0" w:color="AFE66A" w:themeColor="accent2" w:themeTint="99"/>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CBE9F6" w:themeColor="accent5" w:themeTint="99"/>
        <w:left w:val="single" w:sz="4" w:space="0" w:color="CBE9F6" w:themeColor="accent5" w:themeTint="99"/>
        <w:bottom w:val="single" w:sz="4" w:space="0" w:color="CBE9F6" w:themeColor="accent5" w:themeTint="99"/>
        <w:right w:val="single" w:sz="4" w:space="0" w:color="CBE9F6" w:themeColor="accent5" w:themeTint="99"/>
        <w:insideH w:val="single" w:sz="4" w:space="0" w:color="CBE9F6" w:themeColor="accent5" w:themeTint="99"/>
      </w:tblBorders>
    </w:tblPr>
    <w:tblStylePr w:type="firstRow">
      <w:rPr>
        <w:b/>
        <w:bCs/>
        <w:color w:val="FFFFFF" w:themeColor="background1"/>
      </w:rPr>
      <w:tblPr/>
      <w:tcPr>
        <w:tcBorders>
          <w:top w:val="single" w:sz="4" w:space="0" w:color="AADCF1" w:themeColor="accent5"/>
          <w:left w:val="single" w:sz="4" w:space="0" w:color="AADCF1" w:themeColor="accent5"/>
          <w:bottom w:val="single" w:sz="4" w:space="0" w:color="AADCF1" w:themeColor="accent5"/>
          <w:right w:val="single" w:sz="4" w:space="0" w:color="AADCF1" w:themeColor="accent5"/>
          <w:insideH w:val="nil"/>
        </w:tcBorders>
        <w:shd w:val="clear" w:color="auto" w:fill="AADCF1" w:themeFill="accent5"/>
      </w:tcPr>
    </w:tblStylePr>
    <w:tblStylePr w:type="lastRow">
      <w:rPr>
        <w:b/>
        <w:bCs/>
      </w:rPr>
      <w:tblPr/>
      <w:tcPr>
        <w:tcBorders>
          <w:top w:val="double" w:sz="4" w:space="0" w:color="CBE9F6" w:themeColor="accent5" w:themeTint="99"/>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CEE7AE" w:themeColor="accent6" w:themeTint="99"/>
        <w:left w:val="single" w:sz="4" w:space="0" w:color="CEE7AE" w:themeColor="accent6" w:themeTint="99"/>
        <w:bottom w:val="single" w:sz="4" w:space="0" w:color="CEE7AE" w:themeColor="accent6" w:themeTint="99"/>
        <w:right w:val="single" w:sz="4" w:space="0" w:color="CEE7AE" w:themeColor="accent6" w:themeTint="99"/>
        <w:insideH w:val="single" w:sz="4" w:space="0" w:color="CEE7AE" w:themeColor="accent6" w:themeTint="99"/>
      </w:tblBorders>
    </w:tblPr>
    <w:tblStylePr w:type="firstRow">
      <w:rPr>
        <w:b/>
        <w:bCs/>
        <w:color w:val="FFFFFF" w:themeColor="background1"/>
      </w:rPr>
      <w:tblPr/>
      <w:tcPr>
        <w:tcBorders>
          <w:top w:val="single" w:sz="4" w:space="0" w:color="AED879" w:themeColor="accent6"/>
          <w:left w:val="single" w:sz="4" w:space="0" w:color="AED879" w:themeColor="accent6"/>
          <w:bottom w:val="single" w:sz="4" w:space="0" w:color="AED879" w:themeColor="accent6"/>
          <w:right w:val="single" w:sz="4" w:space="0" w:color="AED879" w:themeColor="accent6"/>
          <w:insideH w:val="nil"/>
        </w:tcBorders>
        <w:shd w:val="clear" w:color="auto" w:fill="AED879" w:themeFill="accent6"/>
      </w:tcPr>
    </w:tblStylePr>
    <w:tblStylePr w:type="lastRow">
      <w:rPr>
        <w:b/>
        <w:bCs/>
      </w:rPr>
      <w:tblPr/>
      <w:tcPr>
        <w:tcBorders>
          <w:top w:val="double" w:sz="4" w:space="0" w:color="CEE7AE" w:themeColor="accent6" w:themeTint="99"/>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71C5E8" w:themeColor="accent1"/>
        <w:left w:val="single" w:sz="24" w:space="0" w:color="71C5E8" w:themeColor="accent1"/>
        <w:bottom w:val="single" w:sz="24" w:space="0" w:color="71C5E8" w:themeColor="accent1"/>
        <w:right w:val="single" w:sz="24" w:space="0" w:color="71C5E8" w:themeColor="accent1"/>
      </w:tblBorders>
    </w:tblPr>
    <w:tcPr>
      <w:shd w:val="clear" w:color="auto" w:fill="71C5E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78BE20" w:themeColor="accent2"/>
        <w:left w:val="single" w:sz="24" w:space="0" w:color="78BE20" w:themeColor="accent2"/>
        <w:bottom w:val="single" w:sz="24" w:space="0" w:color="78BE20" w:themeColor="accent2"/>
        <w:right w:val="single" w:sz="24" w:space="0" w:color="78BE20" w:themeColor="accent2"/>
      </w:tblBorders>
    </w:tblPr>
    <w:tcPr>
      <w:shd w:val="clear" w:color="auto" w:fill="78BE2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AADCF1" w:themeColor="accent5"/>
        <w:left w:val="single" w:sz="24" w:space="0" w:color="AADCF1" w:themeColor="accent5"/>
        <w:bottom w:val="single" w:sz="24" w:space="0" w:color="AADCF1" w:themeColor="accent5"/>
        <w:right w:val="single" w:sz="24" w:space="0" w:color="AADCF1" w:themeColor="accent5"/>
      </w:tblBorders>
    </w:tblPr>
    <w:tcPr>
      <w:shd w:val="clear" w:color="auto" w:fill="AADCF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AED879" w:themeColor="accent6"/>
        <w:left w:val="single" w:sz="24" w:space="0" w:color="AED879" w:themeColor="accent6"/>
        <w:bottom w:val="single" w:sz="24" w:space="0" w:color="AED879" w:themeColor="accent6"/>
        <w:right w:val="single" w:sz="24" w:space="0" w:color="AED879" w:themeColor="accent6"/>
      </w:tblBorders>
    </w:tblPr>
    <w:tcPr>
      <w:shd w:val="clear" w:color="auto" w:fill="AED87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26A6DC" w:themeColor="accent1" w:themeShade="BF"/>
    </w:rPr>
    <w:tblPr>
      <w:tblStyleRowBandSize w:val="1"/>
      <w:tblStyleColBandSize w:val="1"/>
      <w:tblBorders>
        <w:top w:val="single" w:sz="4" w:space="0" w:color="71C5E8" w:themeColor="accent1"/>
        <w:bottom w:val="single" w:sz="4" w:space="0" w:color="71C5E8" w:themeColor="accent1"/>
      </w:tblBorders>
    </w:tblPr>
    <w:tblStylePr w:type="firstRow">
      <w:rPr>
        <w:b/>
        <w:bCs/>
      </w:rPr>
      <w:tblPr/>
      <w:tcPr>
        <w:tcBorders>
          <w:bottom w:val="single" w:sz="4" w:space="0" w:color="71C5E8" w:themeColor="accent1"/>
        </w:tcBorders>
      </w:tcPr>
    </w:tblStylePr>
    <w:tblStylePr w:type="lastRow">
      <w:rPr>
        <w:b/>
        <w:bCs/>
      </w:rPr>
      <w:tblPr/>
      <w:tcPr>
        <w:tcBorders>
          <w:top w:val="double" w:sz="4" w:space="0" w:color="71C5E8" w:themeColor="accent1"/>
        </w:tcBorders>
      </w:tcPr>
    </w:tblStylePr>
    <w:tblStylePr w:type="firstCol">
      <w:rPr>
        <w:b/>
        <w:bCs/>
      </w:rPr>
    </w:tblStylePr>
    <w:tblStylePr w:type="lastCol">
      <w:rPr>
        <w:b/>
        <w:bCs/>
      </w:rPr>
    </w:tblStylePr>
    <w:tblStylePr w:type="band1Vert">
      <w:tblPr/>
      <w:tcPr>
        <w:shd w:val="clear" w:color="auto" w:fill="E2F3FA" w:themeFill="accent1" w:themeFillTint="33"/>
      </w:tcPr>
    </w:tblStylePr>
    <w:tblStylePr w:type="band1Horz">
      <w:tblPr/>
      <w:tcPr>
        <w:shd w:val="clear" w:color="auto" w:fill="E2F3FA" w:themeFill="accent1" w:themeFillTint="33"/>
      </w:tcPr>
    </w:tblStylePr>
  </w:style>
  <w:style w:type="table" w:styleId="ListTable6Colorful-Accent2">
    <w:name w:val="List Table 6 Colorful Accent 2"/>
    <w:basedOn w:val="TableNormal"/>
    <w:uiPriority w:val="51"/>
    <w:semiHidden/>
    <w:rsid w:val="0058629F"/>
    <w:rPr>
      <w:color w:val="598E18" w:themeColor="accent2" w:themeShade="BF"/>
    </w:rPr>
    <w:tblPr>
      <w:tblStyleRowBandSize w:val="1"/>
      <w:tblStyleColBandSize w:val="1"/>
      <w:tblBorders>
        <w:top w:val="single" w:sz="4" w:space="0" w:color="78BE20" w:themeColor="accent2"/>
        <w:bottom w:val="single" w:sz="4" w:space="0" w:color="78BE20" w:themeColor="accent2"/>
      </w:tblBorders>
    </w:tblPr>
    <w:tblStylePr w:type="firstRow">
      <w:rPr>
        <w:b/>
        <w:bCs/>
      </w:rPr>
      <w:tblPr/>
      <w:tcPr>
        <w:tcBorders>
          <w:bottom w:val="single" w:sz="4" w:space="0" w:color="78BE20" w:themeColor="accent2"/>
        </w:tcBorders>
      </w:tcPr>
    </w:tblStylePr>
    <w:tblStylePr w:type="lastRow">
      <w:rPr>
        <w:b/>
        <w:bCs/>
      </w:rPr>
      <w:tblPr/>
      <w:tcPr>
        <w:tcBorders>
          <w:top w:val="double" w:sz="4" w:space="0" w:color="78BE20"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51B7E2" w:themeColor="accent5" w:themeShade="BF"/>
    </w:rPr>
    <w:tblPr>
      <w:tblStyleRowBandSize w:val="1"/>
      <w:tblStyleColBandSize w:val="1"/>
      <w:tblBorders>
        <w:top w:val="single" w:sz="4" w:space="0" w:color="AADCF1" w:themeColor="accent5"/>
        <w:bottom w:val="single" w:sz="4" w:space="0" w:color="AADCF1" w:themeColor="accent5"/>
      </w:tblBorders>
    </w:tblPr>
    <w:tblStylePr w:type="firstRow">
      <w:rPr>
        <w:b/>
        <w:bCs/>
      </w:rPr>
      <w:tblPr/>
      <w:tcPr>
        <w:tcBorders>
          <w:bottom w:val="single" w:sz="4" w:space="0" w:color="AADCF1" w:themeColor="accent5"/>
        </w:tcBorders>
      </w:tcPr>
    </w:tblStylePr>
    <w:tblStylePr w:type="lastRow">
      <w:rPr>
        <w:b/>
        <w:bCs/>
      </w:rPr>
      <w:tblPr/>
      <w:tcPr>
        <w:tcBorders>
          <w:top w:val="double" w:sz="4" w:space="0" w:color="AADCF1" w:themeColor="accent5"/>
        </w:tcBorders>
      </w:tcPr>
    </w:tblStylePr>
    <w:tblStylePr w:type="firstCol">
      <w:rPr>
        <w:b/>
        <w:bCs/>
      </w:rPr>
    </w:tblStylePr>
    <w:tblStylePr w:type="lastCol">
      <w:rPr>
        <w:b/>
        <w:bCs/>
      </w:rPr>
    </w:tblStylePr>
    <w:tblStylePr w:type="band1Vert">
      <w:tblPr/>
      <w:tcPr>
        <w:shd w:val="clear" w:color="auto" w:fill="EDF7FC" w:themeFill="accent5" w:themeFillTint="33"/>
      </w:tcPr>
    </w:tblStylePr>
    <w:tblStylePr w:type="band1Horz">
      <w:tblPr/>
      <w:tcPr>
        <w:shd w:val="clear" w:color="auto" w:fill="EDF7FC" w:themeFill="accent5" w:themeFillTint="33"/>
      </w:tcPr>
    </w:tblStylePr>
  </w:style>
  <w:style w:type="table" w:styleId="ListTable6Colorful-Accent6">
    <w:name w:val="List Table 6 Colorful Accent 6"/>
    <w:basedOn w:val="TableNormal"/>
    <w:uiPriority w:val="51"/>
    <w:semiHidden/>
    <w:rsid w:val="0058629F"/>
    <w:rPr>
      <w:color w:val="86C339" w:themeColor="accent6" w:themeShade="BF"/>
    </w:rPr>
    <w:tblPr>
      <w:tblStyleRowBandSize w:val="1"/>
      <w:tblStyleColBandSize w:val="1"/>
      <w:tblBorders>
        <w:top w:val="single" w:sz="4" w:space="0" w:color="AED879" w:themeColor="accent6"/>
        <w:bottom w:val="single" w:sz="4" w:space="0" w:color="AED879" w:themeColor="accent6"/>
      </w:tblBorders>
    </w:tblPr>
    <w:tblStylePr w:type="firstRow">
      <w:rPr>
        <w:b/>
        <w:bCs/>
      </w:rPr>
      <w:tblPr/>
      <w:tcPr>
        <w:tcBorders>
          <w:bottom w:val="single" w:sz="4" w:space="0" w:color="AED879" w:themeColor="accent6"/>
        </w:tcBorders>
      </w:tcPr>
    </w:tblStylePr>
    <w:tblStylePr w:type="lastRow">
      <w:rPr>
        <w:b/>
        <w:bCs/>
      </w:rPr>
      <w:tblPr/>
      <w:tcPr>
        <w:tcBorders>
          <w:top w:val="double" w:sz="4" w:space="0" w:color="AED879" w:themeColor="accent6"/>
        </w:tcBorders>
      </w:tcPr>
    </w:tblStylePr>
    <w:tblStylePr w:type="firstCol">
      <w:rPr>
        <w:b/>
        <w:bCs/>
      </w:rPr>
    </w:tblStylePr>
    <w:tblStylePr w:type="lastCol">
      <w:rPr>
        <w:b/>
        <w:bCs/>
      </w:rPr>
    </w:tblStylePr>
    <w:tblStylePr w:type="band1Vert">
      <w:tblPr/>
      <w:tcPr>
        <w:shd w:val="clear" w:color="auto" w:fill="EEF7E4" w:themeFill="accent6" w:themeFillTint="33"/>
      </w:tcPr>
    </w:tblStylePr>
    <w:tblStylePr w:type="band1Horz">
      <w:tblPr/>
      <w:tcPr>
        <w:shd w:val="clear" w:color="auto" w:fill="EEF7E4"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26A6D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C5E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C5E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C5E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C5E8" w:themeColor="accent1"/>
        </w:tcBorders>
        <w:shd w:val="clear" w:color="auto" w:fill="FFFFFF" w:themeFill="background1"/>
      </w:tcPr>
    </w:tblStylePr>
    <w:tblStylePr w:type="band1Vert">
      <w:tblPr/>
      <w:tcPr>
        <w:shd w:val="clear" w:color="auto" w:fill="E2F3FA" w:themeFill="accent1" w:themeFillTint="33"/>
      </w:tcPr>
    </w:tblStylePr>
    <w:tblStylePr w:type="band1Horz">
      <w:tblPr/>
      <w:tcPr>
        <w:shd w:val="clear" w:color="auto" w:fill="E2F3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598E1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8BE2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BE2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BE2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BE20" w:themeColor="accent2"/>
        </w:tcBorders>
        <w:shd w:val="clear" w:color="auto" w:fill="FFFFFF" w:themeFill="background1"/>
      </w:tcPr>
    </w:tblStylePr>
    <w:tblStylePr w:type="band1Vert">
      <w:tblPr/>
      <w:tcPr>
        <w:shd w:val="clear" w:color="auto" w:fill="E4F6CD" w:themeFill="accent2" w:themeFillTint="33"/>
      </w:tcPr>
    </w:tblStylePr>
    <w:tblStylePr w:type="band1Horz">
      <w:tblPr/>
      <w:tcPr>
        <w:shd w:val="clear" w:color="auto" w:fill="E4F6C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51B7E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DCF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CF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CF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CF1" w:themeColor="accent5"/>
        </w:tcBorders>
        <w:shd w:val="clear" w:color="auto" w:fill="FFFFFF" w:themeFill="background1"/>
      </w:tcPr>
    </w:tblStylePr>
    <w:tblStylePr w:type="band1Vert">
      <w:tblPr/>
      <w:tcPr>
        <w:shd w:val="clear" w:color="auto" w:fill="EDF7FC" w:themeFill="accent5" w:themeFillTint="33"/>
      </w:tcPr>
    </w:tblStylePr>
    <w:tblStylePr w:type="band1Horz">
      <w:tblPr/>
      <w:tcPr>
        <w:shd w:val="clear" w:color="auto" w:fill="EDF7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86C3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ED87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ED87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ED87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ED879" w:themeColor="accent6"/>
        </w:tcBorders>
        <w:shd w:val="clear" w:color="auto" w:fill="FFFFFF" w:themeFill="background1"/>
      </w:tcPr>
    </w:tblStylePr>
    <w:tblStylePr w:type="band1Vert">
      <w:tblPr/>
      <w:tcPr>
        <w:shd w:val="clear" w:color="auto" w:fill="EEF7E4" w:themeFill="accent6" w:themeFillTint="33"/>
      </w:tcPr>
    </w:tblStylePr>
    <w:tblStylePr w:type="band1Horz">
      <w:tblPr/>
      <w:tcPr>
        <w:shd w:val="clear" w:color="auto" w:fill="EEF7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single" w:sz="8" w:space="0" w:color="94D3ED" w:themeColor="accent1" w:themeTint="BF"/>
        <w:insideV w:val="single" w:sz="8" w:space="0" w:color="94D3ED" w:themeColor="accent1" w:themeTint="BF"/>
      </w:tblBorders>
    </w:tblPr>
    <w:tcPr>
      <w:shd w:val="clear" w:color="auto" w:fill="DBF0F9" w:themeFill="accent1" w:themeFillTint="3F"/>
    </w:tcPr>
    <w:tblStylePr w:type="firstRow">
      <w:rPr>
        <w:b/>
        <w:bCs/>
      </w:rPr>
    </w:tblStylePr>
    <w:tblStylePr w:type="lastRow">
      <w:rPr>
        <w:b/>
        <w:bCs/>
      </w:rPr>
      <w:tblPr/>
      <w:tcPr>
        <w:tcBorders>
          <w:top w:val="single" w:sz="18" w:space="0" w:color="94D3ED" w:themeColor="accent1" w:themeTint="BF"/>
        </w:tcBorders>
      </w:tcPr>
    </w:tblStylePr>
    <w:tblStylePr w:type="firstCol">
      <w:rPr>
        <w:b/>
        <w:bCs/>
      </w:rPr>
    </w:tblStylePr>
    <w:tblStylePr w:type="lastCol">
      <w:rPr>
        <w:b/>
        <w:bCs/>
      </w:rPr>
    </w:tblStylePr>
    <w:tblStylePr w:type="band1Vert">
      <w:tblPr/>
      <w:tcPr>
        <w:shd w:val="clear" w:color="auto" w:fill="B8E2F3" w:themeFill="accent1" w:themeFillTint="7F"/>
      </w:tcPr>
    </w:tblStylePr>
    <w:tblStylePr w:type="band1Horz">
      <w:tblPr/>
      <w:tcPr>
        <w:shd w:val="clear" w:color="auto" w:fill="B8E2F3"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single" w:sz="8" w:space="0" w:color="9BDF46" w:themeColor="accent2" w:themeTint="BF"/>
        <w:insideV w:val="single" w:sz="8" w:space="0" w:color="9BDF46" w:themeColor="accent2" w:themeTint="BF"/>
      </w:tblBorders>
    </w:tblPr>
    <w:tcPr>
      <w:shd w:val="clear" w:color="auto" w:fill="DEF4C1" w:themeFill="accent2" w:themeFillTint="3F"/>
    </w:tcPr>
    <w:tblStylePr w:type="firstRow">
      <w:rPr>
        <w:b/>
        <w:bCs/>
      </w:rPr>
    </w:tblStylePr>
    <w:tblStylePr w:type="lastRow">
      <w:rPr>
        <w:b/>
        <w:bCs/>
      </w:rPr>
      <w:tblPr/>
      <w:tcPr>
        <w:tcBorders>
          <w:top w:val="single" w:sz="18" w:space="0" w:color="9BDF46" w:themeColor="accent2" w:themeTint="BF"/>
        </w:tcBorders>
      </w:tcPr>
    </w:tblStylePr>
    <w:tblStylePr w:type="firstCol">
      <w:rPr>
        <w:b/>
        <w:bCs/>
      </w:rPr>
    </w:tblStylePr>
    <w:tblStylePr w:type="lastCol">
      <w:rPr>
        <w:b/>
        <w:bCs/>
      </w:rPr>
    </w:tblStylePr>
    <w:tblStylePr w:type="band1Vert">
      <w:tblPr/>
      <w:tcPr>
        <w:shd w:val="clear" w:color="auto" w:fill="BCEA84" w:themeFill="accent2" w:themeFillTint="7F"/>
      </w:tcPr>
    </w:tblStylePr>
    <w:tblStylePr w:type="band1Horz">
      <w:tblPr/>
      <w:tcPr>
        <w:shd w:val="clear" w:color="auto" w:fill="BCEA84"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single" w:sz="8" w:space="0" w:color="BFE4F4" w:themeColor="accent5" w:themeTint="BF"/>
        <w:insideV w:val="single" w:sz="8" w:space="0" w:color="BFE4F4" w:themeColor="accent5" w:themeTint="BF"/>
      </w:tblBorders>
    </w:tblPr>
    <w:tcPr>
      <w:shd w:val="clear" w:color="auto" w:fill="E9F6FB" w:themeFill="accent5" w:themeFillTint="3F"/>
    </w:tcPr>
    <w:tblStylePr w:type="firstRow">
      <w:rPr>
        <w:b/>
        <w:bCs/>
      </w:rPr>
    </w:tblStylePr>
    <w:tblStylePr w:type="lastRow">
      <w:rPr>
        <w:b/>
        <w:bCs/>
      </w:rPr>
      <w:tblPr/>
      <w:tcPr>
        <w:tcBorders>
          <w:top w:val="single" w:sz="18" w:space="0" w:color="BFE4F4" w:themeColor="accent5" w:themeTint="BF"/>
        </w:tcBorders>
      </w:tcPr>
    </w:tblStylePr>
    <w:tblStylePr w:type="firstCol">
      <w:rPr>
        <w:b/>
        <w:bCs/>
      </w:rPr>
    </w:tblStylePr>
    <w:tblStylePr w:type="lastCol">
      <w:rPr>
        <w:b/>
        <w:bCs/>
      </w:rPr>
    </w:tblStylePr>
    <w:tblStylePr w:type="band1Vert">
      <w:tblPr/>
      <w:tcPr>
        <w:shd w:val="clear" w:color="auto" w:fill="D4EDF8" w:themeFill="accent5" w:themeFillTint="7F"/>
      </w:tcPr>
    </w:tblStylePr>
    <w:tblStylePr w:type="band1Horz">
      <w:tblPr/>
      <w:tcPr>
        <w:shd w:val="clear" w:color="auto" w:fill="D4EDF8"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single" w:sz="8" w:space="0" w:color="C2E19A" w:themeColor="accent6" w:themeTint="BF"/>
        <w:insideV w:val="single" w:sz="8" w:space="0" w:color="C2E19A" w:themeColor="accent6" w:themeTint="BF"/>
      </w:tblBorders>
    </w:tblPr>
    <w:tcPr>
      <w:shd w:val="clear" w:color="auto" w:fill="EAF5DD" w:themeFill="accent6" w:themeFillTint="3F"/>
    </w:tcPr>
    <w:tblStylePr w:type="firstRow">
      <w:rPr>
        <w:b/>
        <w:bCs/>
      </w:rPr>
    </w:tblStylePr>
    <w:tblStylePr w:type="lastRow">
      <w:rPr>
        <w:b/>
        <w:bCs/>
      </w:rPr>
      <w:tblPr/>
      <w:tcPr>
        <w:tcBorders>
          <w:top w:val="single" w:sz="18" w:space="0" w:color="C2E19A" w:themeColor="accent6" w:themeTint="BF"/>
        </w:tcBorders>
      </w:tcPr>
    </w:tblStylePr>
    <w:tblStylePr w:type="firstCol">
      <w:rPr>
        <w:b/>
        <w:bCs/>
      </w:rPr>
    </w:tblStylePr>
    <w:tblStylePr w:type="lastCol">
      <w:rPr>
        <w:b/>
        <w:bCs/>
      </w:rPr>
    </w:tblStylePr>
    <w:tblStylePr w:type="band1Vert">
      <w:tblPr/>
      <w:tcPr>
        <w:shd w:val="clear" w:color="auto" w:fill="D6EBBC" w:themeFill="accent6" w:themeFillTint="7F"/>
      </w:tcPr>
    </w:tblStylePr>
    <w:tblStylePr w:type="band1Horz">
      <w:tblPr/>
      <w:tcPr>
        <w:shd w:val="clear" w:color="auto" w:fill="D6EBBC"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insideH w:val="single" w:sz="8" w:space="0" w:color="71C5E8" w:themeColor="accent1"/>
        <w:insideV w:val="single" w:sz="8" w:space="0" w:color="71C5E8" w:themeColor="accent1"/>
      </w:tblBorders>
    </w:tblPr>
    <w:tcPr>
      <w:shd w:val="clear" w:color="auto" w:fill="DBF0F9" w:themeFill="accent1" w:themeFillTint="3F"/>
    </w:tcPr>
    <w:tblStylePr w:type="firstRow">
      <w:rPr>
        <w:b/>
        <w:bCs/>
        <w:color w:val="232222" w:themeColor="text1"/>
      </w:rPr>
      <w:tblPr/>
      <w:tcPr>
        <w:shd w:val="clear" w:color="auto" w:fill="F0F9FC"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2F3FA" w:themeFill="accent1" w:themeFillTint="33"/>
      </w:tcPr>
    </w:tblStylePr>
    <w:tblStylePr w:type="band1Vert">
      <w:tblPr/>
      <w:tcPr>
        <w:shd w:val="clear" w:color="auto" w:fill="B8E2F3" w:themeFill="accent1" w:themeFillTint="7F"/>
      </w:tcPr>
    </w:tblStylePr>
    <w:tblStylePr w:type="band1Horz">
      <w:tblPr/>
      <w:tcPr>
        <w:tcBorders>
          <w:insideH w:val="single" w:sz="6" w:space="0" w:color="71C5E8" w:themeColor="accent1"/>
          <w:insideV w:val="single" w:sz="6" w:space="0" w:color="71C5E8" w:themeColor="accent1"/>
        </w:tcBorders>
        <w:shd w:val="clear" w:color="auto" w:fill="B8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insideH w:val="single" w:sz="8" w:space="0" w:color="78BE20" w:themeColor="accent2"/>
        <w:insideV w:val="single" w:sz="8" w:space="0" w:color="78BE20" w:themeColor="accent2"/>
      </w:tblBorders>
    </w:tblPr>
    <w:tcPr>
      <w:shd w:val="clear" w:color="auto" w:fill="DEF4C1" w:themeFill="accent2" w:themeFillTint="3F"/>
    </w:tcPr>
    <w:tblStylePr w:type="firstRow">
      <w:rPr>
        <w:b/>
        <w:bCs/>
        <w:color w:val="232222" w:themeColor="text1"/>
      </w:rPr>
      <w:tblPr/>
      <w:tcPr>
        <w:shd w:val="clear" w:color="auto" w:fill="F1FBE6"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4F6CD" w:themeFill="accent2" w:themeFillTint="33"/>
      </w:tcPr>
    </w:tblStylePr>
    <w:tblStylePr w:type="band1Vert">
      <w:tblPr/>
      <w:tcPr>
        <w:shd w:val="clear" w:color="auto" w:fill="BCEA84" w:themeFill="accent2" w:themeFillTint="7F"/>
      </w:tcPr>
    </w:tblStylePr>
    <w:tblStylePr w:type="band1Horz">
      <w:tblPr/>
      <w:tcPr>
        <w:tcBorders>
          <w:insideH w:val="single" w:sz="6" w:space="0" w:color="78BE20" w:themeColor="accent2"/>
          <w:insideV w:val="single" w:sz="6" w:space="0" w:color="78BE20" w:themeColor="accent2"/>
        </w:tcBorders>
        <w:shd w:val="clear" w:color="auto" w:fill="BCEA8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insideH w:val="single" w:sz="8" w:space="0" w:color="AADCF1" w:themeColor="accent5"/>
        <w:insideV w:val="single" w:sz="8" w:space="0" w:color="AADCF1" w:themeColor="accent5"/>
      </w:tblBorders>
    </w:tblPr>
    <w:tcPr>
      <w:shd w:val="clear" w:color="auto" w:fill="E9F6FB" w:themeFill="accent5" w:themeFillTint="3F"/>
    </w:tcPr>
    <w:tblStylePr w:type="firstRow">
      <w:rPr>
        <w:b/>
        <w:bCs/>
        <w:color w:val="232222" w:themeColor="text1"/>
      </w:rPr>
      <w:tblPr/>
      <w:tcPr>
        <w:shd w:val="clear" w:color="auto" w:fill="F6FBFD"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DF7FC" w:themeFill="accent5" w:themeFillTint="33"/>
      </w:tcPr>
    </w:tblStylePr>
    <w:tblStylePr w:type="band1Vert">
      <w:tblPr/>
      <w:tcPr>
        <w:shd w:val="clear" w:color="auto" w:fill="D4EDF8" w:themeFill="accent5" w:themeFillTint="7F"/>
      </w:tcPr>
    </w:tblStylePr>
    <w:tblStylePr w:type="band1Horz">
      <w:tblPr/>
      <w:tcPr>
        <w:tcBorders>
          <w:insideH w:val="single" w:sz="6" w:space="0" w:color="AADCF1" w:themeColor="accent5"/>
          <w:insideV w:val="single" w:sz="6" w:space="0" w:color="AADCF1" w:themeColor="accent5"/>
        </w:tcBorders>
        <w:shd w:val="clear" w:color="auto" w:fill="D4ED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insideH w:val="single" w:sz="8" w:space="0" w:color="AED879" w:themeColor="accent6"/>
        <w:insideV w:val="single" w:sz="8" w:space="0" w:color="AED879" w:themeColor="accent6"/>
      </w:tblBorders>
    </w:tblPr>
    <w:tcPr>
      <w:shd w:val="clear" w:color="auto" w:fill="EAF5DD" w:themeFill="accent6" w:themeFillTint="3F"/>
    </w:tcPr>
    <w:tblStylePr w:type="firstRow">
      <w:rPr>
        <w:b/>
        <w:bCs/>
        <w:color w:val="232222" w:themeColor="text1"/>
      </w:rPr>
      <w:tblPr/>
      <w:tcPr>
        <w:shd w:val="clear" w:color="auto" w:fill="F7FBF1"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EF7E4" w:themeFill="accent6" w:themeFillTint="33"/>
      </w:tcPr>
    </w:tblStylePr>
    <w:tblStylePr w:type="band1Vert">
      <w:tblPr/>
      <w:tcPr>
        <w:shd w:val="clear" w:color="auto" w:fill="D6EBBC" w:themeFill="accent6" w:themeFillTint="7F"/>
      </w:tcPr>
    </w:tblStylePr>
    <w:tblStylePr w:type="band1Horz">
      <w:tblPr/>
      <w:tcPr>
        <w:tcBorders>
          <w:insideH w:val="single" w:sz="6" w:space="0" w:color="AED879" w:themeColor="accent6"/>
          <w:insideV w:val="single" w:sz="6" w:space="0" w:color="AED879" w:themeColor="accent6"/>
        </w:tcBorders>
        <w:shd w:val="clear" w:color="auto" w:fill="D6EB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0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C5E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C5E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C5E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C5E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8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8E2F3"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4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BE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BE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BE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BE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A8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A84"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6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C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C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C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C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D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DF8"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5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D8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D8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D8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D8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B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BBC"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71C5E8" w:themeColor="accent1"/>
        <w:bottom w:val="single" w:sz="8" w:space="0" w:color="71C5E8" w:themeColor="accent1"/>
      </w:tblBorders>
    </w:tblPr>
    <w:tblStylePr w:type="firstRow">
      <w:rPr>
        <w:rFonts w:asciiTheme="majorHAnsi" w:eastAsiaTheme="majorEastAsia" w:hAnsiTheme="majorHAnsi" w:cstheme="majorBidi"/>
      </w:rPr>
      <w:tblPr/>
      <w:tcPr>
        <w:tcBorders>
          <w:top w:val="nil"/>
          <w:bottom w:val="single" w:sz="8" w:space="0" w:color="71C5E8" w:themeColor="accent1"/>
        </w:tcBorders>
      </w:tcPr>
    </w:tblStylePr>
    <w:tblStylePr w:type="lastRow">
      <w:rPr>
        <w:b/>
        <w:bCs/>
        <w:color w:val="201547" w:themeColor="text2"/>
      </w:rPr>
      <w:tblPr/>
      <w:tcPr>
        <w:tcBorders>
          <w:top w:val="single" w:sz="8" w:space="0" w:color="71C5E8" w:themeColor="accent1"/>
          <w:bottom w:val="single" w:sz="8" w:space="0" w:color="71C5E8" w:themeColor="accent1"/>
        </w:tcBorders>
      </w:tcPr>
    </w:tblStylePr>
    <w:tblStylePr w:type="firstCol">
      <w:rPr>
        <w:b/>
        <w:bCs/>
      </w:rPr>
    </w:tblStylePr>
    <w:tblStylePr w:type="lastCol">
      <w:rPr>
        <w:b/>
        <w:bCs/>
      </w:rPr>
      <w:tblPr/>
      <w:tcPr>
        <w:tcBorders>
          <w:top w:val="single" w:sz="8" w:space="0" w:color="71C5E8" w:themeColor="accent1"/>
          <w:bottom w:val="single" w:sz="8" w:space="0" w:color="71C5E8" w:themeColor="accent1"/>
        </w:tcBorders>
      </w:tcPr>
    </w:tblStylePr>
    <w:tblStylePr w:type="band1Vert">
      <w:tblPr/>
      <w:tcPr>
        <w:shd w:val="clear" w:color="auto" w:fill="DBF0F9" w:themeFill="accent1" w:themeFillTint="3F"/>
      </w:tcPr>
    </w:tblStylePr>
    <w:tblStylePr w:type="band1Horz">
      <w:tblPr/>
      <w:tcPr>
        <w:shd w:val="clear" w:color="auto" w:fill="DBF0F9"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78BE20" w:themeColor="accent2"/>
        <w:bottom w:val="single" w:sz="8" w:space="0" w:color="78BE20" w:themeColor="accent2"/>
      </w:tblBorders>
    </w:tblPr>
    <w:tblStylePr w:type="firstRow">
      <w:rPr>
        <w:rFonts w:asciiTheme="majorHAnsi" w:eastAsiaTheme="majorEastAsia" w:hAnsiTheme="majorHAnsi" w:cstheme="majorBidi"/>
      </w:rPr>
      <w:tblPr/>
      <w:tcPr>
        <w:tcBorders>
          <w:top w:val="nil"/>
          <w:bottom w:val="single" w:sz="8" w:space="0" w:color="78BE20" w:themeColor="accent2"/>
        </w:tcBorders>
      </w:tcPr>
    </w:tblStylePr>
    <w:tblStylePr w:type="lastRow">
      <w:rPr>
        <w:b/>
        <w:bCs/>
        <w:color w:val="201547" w:themeColor="text2"/>
      </w:rPr>
      <w:tblPr/>
      <w:tcPr>
        <w:tcBorders>
          <w:top w:val="single" w:sz="8" w:space="0" w:color="78BE20" w:themeColor="accent2"/>
          <w:bottom w:val="single" w:sz="8" w:space="0" w:color="78BE20" w:themeColor="accent2"/>
        </w:tcBorders>
      </w:tcPr>
    </w:tblStylePr>
    <w:tblStylePr w:type="firstCol">
      <w:rPr>
        <w:b/>
        <w:bCs/>
      </w:rPr>
    </w:tblStylePr>
    <w:tblStylePr w:type="lastCol">
      <w:rPr>
        <w:b/>
        <w:bCs/>
      </w:rPr>
      <w:tblPr/>
      <w:tcPr>
        <w:tcBorders>
          <w:top w:val="single" w:sz="8" w:space="0" w:color="78BE20" w:themeColor="accent2"/>
          <w:bottom w:val="single" w:sz="8" w:space="0" w:color="78BE20" w:themeColor="accent2"/>
        </w:tcBorders>
      </w:tcPr>
    </w:tblStylePr>
    <w:tblStylePr w:type="band1Vert">
      <w:tblPr/>
      <w:tcPr>
        <w:shd w:val="clear" w:color="auto" w:fill="DEF4C1" w:themeFill="accent2" w:themeFillTint="3F"/>
      </w:tcPr>
    </w:tblStylePr>
    <w:tblStylePr w:type="band1Horz">
      <w:tblPr/>
      <w:tcPr>
        <w:shd w:val="clear" w:color="auto" w:fill="DEF4C1"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AADCF1" w:themeColor="accent5"/>
        <w:bottom w:val="single" w:sz="8" w:space="0" w:color="AADCF1" w:themeColor="accent5"/>
      </w:tblBorders>
    </w:tblPr>
    <w:tblStylePr w:type="firstRow">
      <w:rPr>
        <w:rFonts w:asciiTheme="majorHAnsi" w:eastAsiaTheme="majorEastAsia" w:hAnsiTheme="majorHAnsi" w:cstheme="majorBidi"/>
      </w:rPr>
      <w:tblPr/>
      <w:tcPr>
        <w:tcBorders>
          <w:top w:val="nil"/>
          <w:bottom w:val="single" w:sz="8" w:space="0" w:color="AADCF1" w:themeColor="accent5"/>
        </w:tcBorders>
      </w:tcPr>
    </w:tblStylePr>
    <w:tblStylePr w:type="lastRow">
      <w:rPr>
        <w:b/>
        <w:bCs/>
        <w:color w:val="201547" w:themeColor="text2"/>
      </w:rPr>
      <w:tblPr/>
      <w:tcPr>
        <w:tcBorders>
          <w:top w:val="single" w:sz="8" w:space="0" w:color="AADCF1" w:themeColor="accent5"/>
          <w:bottom w:val="single" w:sz="8" w:space="0" w:color="AADCF1" w:themeColor="accent5"/>
        </w:tcBorders>
      </w:tcPr>
    </w:tblStylePr>
    <w:tblStylePr w:type="firstCol">
      <w:rPr>
        <w:b/>
        <w:bCs/>
      </w:rPr>
    </w:tblStylePr>
    <w:tblStylePr w:type="lastCol">
      <w:rPr>
        <w:b/>
        <w:bCs/>
      </w:rPr>
      <w:tblPr/>
      <w:tcPr>
        <w:tcBorders>
          <w:top w:val="single" w:sz="8" w:space="0" w:color="AADCF1" w:themeColor="accent5"/>
          <w:bottom w:val="single" w:sz="8" w:space="0" w:color="AADCF1" w:themeColor="accent5"/>
        </w:tcBorders>
      </w:tcPr>
    </w:tblStylePr>
    <w:tblStylePr w:type="band1Vert">
      <w:tblPr/>
      <w:tcPr>
        <w:shd w:val="clear" w:color="auto" w:fill="E9F6FB" w:themeFill="accent5" w:themeFillTint="3F"/>
      </w:tcPr>
    </w:tblStylePr>
    <w:tblStylePr w:type="band1Horz">
      <w:tblPr/>
      <w:tcPr>
        <w:shd w:val="clear" w:color="auto" w:fill="E9F6FB"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AED879" w:themeColor="accent6"/>
        <w:bottom w:val="single" w:sz="8" w:space="0" w:color="AED879" w:themeColor="accent6"/>
      </w:tblBorders>
    </w:tblPr>
    <w:tblStylePr w:type="firstRow">
      <w:rPr>
        <w:rFonts w:asciiTheme="majorHAnsi" w:eastAsiaTheme="majorEastAsia" w:hAnsiTheme="majorHAnsi" w:cstheme="majorBidi"/>
      </w:rPr>
      <w:tblPr/>
      <w:tcPr>
        <w:tcBorders>
          <w:top w:val="nil"/>
          <w:bottom w:val="single" w:sz="8" w:space="0" w:color="AED879" w:themeColor="accent6"/>
        </w:tcBorders>
      </w:tcPr>
    </w:tblStylePr>
    <w:tblStylePr w:type="lastRow">
      <w:rPr>
        <w:b/>
        <w:bCs/>
        <w:color w:val="201547" w:themeColor="text2"/>
      </w:rPr>
      <w:tblPr/>
      <w:tcPr>
        <w:tcBorders>
          <w:top w:val="single" w:sz="8" w:space="0" w:color="AED879" w:themeColor="accent6"/>
          <w:bottom w:val="single" w:sz="8" w:space="0" w:color="AED879" w:themeColor="accent6"/>
        </w:tcBorders>
      </w:tcPr>
    </w:tblStylePr>
    <w:tblStylePr w:type="firstCol">
      <w:rPr>
        <w:b/>
        <w:bCs/>
      </w:rPr>
    </w:tblStylePr>
    <w:tblStylePr w:type="lastCol">
      <w:rPr>
        <w:b/>
        <w:bCs/>
      </w:rPr>
      <w:tblPr/>
      <w:tcPr>
        <w:tcBorders>
          <w:top w:val="single" w:sz="8" w:space="0" w:color="AED879" w:themeColor="accent6"/>
          <w:bottom w:val="single" w:sz="8" w:space="0" w:color="AED879" w:themeColor="accent6"/>
        </w:tcBorders>
      </w:tcPr>
    </w:tblStylePr>
    <w:tblStylePr w:type="band1Vert">
      <w:tblPr/>
      <w:tcPr>
        <w:shd w:val="clear" w:color="auto" w:fill="EAF5DD" w:themeFill="accent6" w:themeFillTint="3F"/>
      </w:tcPr>
    </w:tblStylePr>
    <w:tblStylePr w:type="band1Horz">
      <w:tblPr/>
      <w:tcPr>
        <w:shd w:val="clear" w:color="auto" w:fill="EAF5DD"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1C5E8" w:themeColor="accent1"/>
        <w:left w:val="single" w:sz="8" w:space="0" w:color="71C5E8" w:themeColor="accent1"/>
        <w:bottom w:val="single" w:sz="8" w:space="0" w:color="71C5E8" w:themeColor="accent1"/>
        <w:right w:val="single" w:sz="8" w:space="0" w:color="71C5E8" w:themeColor="accent1"/>
      </w:tblBorders>
    </w:tblPr>
    <w:tblStylePr w:type="firstRow">
      <w:rPr>
        <w:sz w:val="24"/>
        <w:szCs w:val="24"/>
      </w:rPr>
      <w:tblPr/>
      <w:tcPr>
        <w:tcBorders>
          <w:top w:val="nil"/>
          <w:left w:val="nil"/>
          <w:bottom w:val="single" w:sz="24" w:space="0" w:color="71C5E8" w:themeColor="accent1"/>
          <w:right w:val="nil"/>
          <w:insideH w:val="nil"/>
          <w:insideV w:val="nil"/>
        </w:tcBorders>
        <w:shd w:val="clear" w:color="auto" w:fill="FFFFFF" w:themeFill="background1"/>
      </w:tcPr>
    </w:tblStylePr>
    <w:tblStylePr w:type="lastRow">
      <w:tblPr/>
      <w:tcPr>
        <w:tcBorders>
          <w:top w:val="single" w:sz="8" w:space="0" w:color="71C5E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C5E8" w:themeColor="accent1"/>
          <w:insideH w:val="nil"/>
          <w:insideV w:val="nil"/>
        </w:tcBorders>
        <w:shd w:val="clear" w:color="auto" w:fill="FFFFFF" w:themeFill="background1"/>
      </w:tcPr>
    </w:tblStylePr>
    <w:tblStylePr w:type="lastCol">
      <w:tblPr/>
      <w:tcPr>
        <w:tcBorders>
          <w:top w:val="nil"/>
          <w:left w:val="single" w:sz="8" w:space="0" w:color="71C5E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0F9" w:themeFill="accent1" w:themeFillTint="3F"/>
      </w:tcPr>
    </w:tblStylePr>
    <w:tblStylePr w:type="band1Horz">
      <w:tblPr/>
      <w:tcPr>
        <w:tcBorders>
          <w:top w:val="nil"/>
          <w:bottom w:val="nil"/>
          <w:insideH w:val="nil"/>
          <w:insideV w:val="nil"/>
        </w:tcBorders>
        <w:shd w:val="clear" w:color="auto" w:fill="DBF0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78BE20" w:themeColor="accent2"/>
        <w:left w:val="single" w:sz="8" w:space="0" w:color="78BE20" w:themeColor="accent2"/>
        <w:bottom w:val="single" w:sz="8" w:space="0" w:color="78BE20" w:themeColor="accent2"/>
        <w:right w:val="single" w:sz="8" w:space="0" w:color="78BE20" w:themeColor="accent2"/>
      </w:tblBorders>
    </w:tblPr>
    <w:tblStylePr w:type="firstRow">
      <w:rPr>
        <w:sz w:val="24"/>
        <w:szCs w:val="24"/>
      </w:rPr>
      <w:tblPr/>
      <w:tcPr>
        <w:tcBorders>
          <w:top w:val="nil"/>
          <w:left w:val="nil"/>
          <w:bottom w:val="single" w:sz="24" w:space="0" w:color="78BE20" w:themeColor="accent2"/>
          <w:right w:val="nil"/>
          <w:insideH w:val="nil"/>
          <w:insideV w:val="nil"/>
        </w:tcBorders>
        <w:shd w:val="clear" w:color="auto" w:fill="FFFFFF" w:themeFill="background1"/>
      </w:tcPr>
    </w:tblStylePr>
    <w:tblStylePr w:type="lastRow">
      <w:tblPr/>
      <w:tcPr>
        <w:tcBorders>
          <w:top w:val="single" w:sz="8" w:space="0" w:color="78BE2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BE20" w:themeColor="accent2"/>
          <w:insideH w:val="nil"/>
          <w:insideV w:val="nil"/>
        </w:tcBorders>
        <w:shd w:val="clear" w:color="auto" w:fill="FFFFFF" w:themeFill="background1"/>
      </w:tcPr>
    </w:tblStylePr>
    <w:tblStylePr w:type="lastCol">
      <w:tblPr/>
      <w:tcPr>
        <w:tcBorders>
          <w:top w:val="nil"/>
          <w:left w:val="single" w:sz="8" w:space="0" w:color="78BE2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4C1" w:themeFill="accent2" w:themeFillTint="3F"/>
      </w:tcPr>
    </w:tblStylePr>
    <w:tblStylePr w:type="band1Horz">
      <w:tblPr/>
      <w:tcPr>
        <w:tcBorders>
          <w:top w:val="nil"/>
          <w:bottom w:val="nil"/>
          <w:insideH w:val="nil"/>
          <w:insideV w:val="nil"/>
        </w:tcBorders>
        <w:shd w:val="clear" w:color="auto" w:fill="DEF4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AADCF1" w:themeColor="accent5"/>
        <w:left w:val="single" w:sz="8" w:space="0" w:color="AADCF1" w:themeColor="accent5"/>
        <w:bottom w:val="single" w:sz="8" w:space="0" w:color="AADCF1" w:themeColor="accent5"/>
        <w:right w:val="single" w:sz="8" w:space="0" w:color="AADCF1" w:themeColor="accent5"/>
      </w:tblBorders>
    </w:tblPr>
    <w:tblStylePr w:type="firstRow">
      <w:rPr>
        <w:sz w:val="24"/>
        <w:szCs w:val="24"/>
      </w:rPr>
      <w:tblPr/>
      <w:tcPr>
        <w:tcBorders>
          <w:top w:val="nil"/>
          <w:left w:val="nil"/>
          <w:bottom w:val="single" w:sz="24" w:space="0" w:color="AADCF1" w:themeColor="accent5"/>
          <w:right w:val="nil"/>
          <w:insideH w:val="nil"/>
          <w:insideV w:val="nil"/>
        </w:tcBorders>
        <w:shd w:val="clear" w:color="auto" w:fill="FFFFFF" w:themeFill="background1"/>
      </w:tcPr>
    </w:tblStylePr>
    <w:tblStylePr w:type="lastRow">
      <w:tblPr/>
      <w:tcPr>
        <w:tcBorders>
          <w:top w:val="single" w:sz="8" w:space="0" w:color="AADC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CF1" w:themeColor="accent5"/>
          <w:insideH w:val="nil"/>
          <w:insideV w:val="nil"/>
        </w:tcBorders>
        <w:shd w:val="clear" w:color="auto" w:fill="FFFFFF" w:themeFill="background1"/>
      </w:tcPr>
    </w:tblStylePr>
    <w:tblStylePr w:type="lastCol">
      <w:tblPr/>
      <w:tcPr>
        <w:tcBorders>
          <w:top w:val="nil"/>
          <w:left w:val="single" w:sz="8" w:space="0" w:color="AADC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6FB" w:themeFill="accent5" w:themeFillTint="3F"/>
      </w:tcPr>
    </w:tblStylePr>
    <w:tblStylePr w:type="band1Horz">
      <w:tblPr/>
      <w:tcPr>
        <w:tcBorders>
          <w:top w:val="nil"/>
          <w:bottom w:val="nil"/>
          <w:insideH w:val="nil"/>
          <w:insideV w:val="nil"/>
        </w:tcBorders>
        <w:shd w:val="clear" w:color="auto" w:fill="E9F6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AED879" w:themeColor="accent6"/>
        <w:left w:val="single" w:sz="8" w:space="0" w:color="AED879" w:themeColor="accent6"/>
        <w:bottom w:val="single" w:sz="8" w:space="0" w:color="AED879" w:themeColor="accent6"/>
        <w:right w:val="single" w:sz="8" w:space="0" w:color="AED879" w:themeColor="accent6"/>
      </w:tblBorders>
    </w:tblPr>
    <w:tblStylePr w:type="firstRow">
      <w:rPr>
        <w:sz w:val="24"/>
        <w:szCs w:val="24"/>
      </w:rPr>
      <w:tblPr/>
      <w:tcPr>
        <w:tcBorders>
          <w:top w:val="nil"/>
          <w:left w:val="nil"/>
          <w:bottom w:val="single" w:sz="24" w:space="0" w:color="AED879" w:themeColor="accent6"/>
          <w:right w:val="nil"/>
          <w:insideH w:val="nil"/>
          <w:insideV w:val="nil"/>
        </w:tcBorders>
        <w:shd w:val="clear" w:color="auto" w:fill="FFFFFF" w:themeFill="background1"/>
      </w:tcPr>
    </w:tblStylePr>
    <w:tblStylePr w:type="lastRow">
      <w:tblPr/>
      <w:tcPr>
        <w:tcBorders>
          <w:top w:val="single" w:sz="8" w:space="0" w:color="AED8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D879" w:themeColor="accent6"/>
          <w:insideH w:val="nil"/>
          <w:insideV w:val="nil"/>
        </w:tcBorders>
        <w:shd w:val="clear" w:color="auto" w:fill="FFFFFF" w:themeFill="background1"/>
      </w:tcPr>
    </w:tblStylePr>
    <w:tblStylePr w:type="lastCol">
      <w:tblPr/>
      <w:tcPr>
        <w:tcBorders>
          <w:top w:val="nil"/>
          <w:left w:val="single" w:sz="8" w:space="0" w:color="AED8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5DD" w:themeFill="accent6" w:themeFillTint="3F"/>
      </w:tcPr>
    </w:tblStylePr>
    <w:tblStylePr w:type="band1Horz">
      <w:tblPr/>
      <w:tcPr>
        <w:tcBorders>
          <w:top w:val="nil"/>
          <w:bottom w:val="nil"/>
          <w:insideH w:val="nil"/>
          <w:insideV w:val="nil"/>
        </w:tcBorders>
        <w:shd w:val="clear" w:color="auto" w:fill="EAF5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single" w:sz="8" w:space="0" w:color="94D3ED" w:themeColor="accent1" w:themeTint="BF"/>
      </w:tblBorders>
    </w:tblPr>
    <w:tblStylePr w:type="firstRow">
      <w:pPr>
        <w:spacing w:before="0" w:after="0" w:line="240" w:lineRule="auto"/>
      </w:pPr>
      <w:rPr>
        <w:b/>
        <w:bCs/>
        <w:color w:val="FFFFFF" w:themeColor="background1"/>
      </w:rPr>
      <w:tblPr/>
      <w:tcPr>
        <w:tcBorders>
          <w:top w:val="single" w:sz="8"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nil"/>
          <w:insideV w:val="nil"/>
        </w:tcBorders>
        <w:shd w:val="clear" w:color="auto" w:fill="71C5E8" w:themeFill="accent1"/>
      </w:tcPr>
    </w:tblStylePr>
    <w:tblStylePr w:type="lastRow">
      <w:pPr>
        <w:spacing w:before="0" w:after="0" w:line="240" w:lineRule="auto"/>
      </w:pPr>
      <w:rPr>
        <w:b/>
        <w:bCs/>
      </w:rPr>
      <w:tblPr/>
      <w:tcPr>
        <w:tcBorders>
          <w:top w:val="double" w:sz="6" w:space="0" w:color="94D3ED" w:themeColor="accent1" w:themeTint="BF"/>
          <w:left w:val="single" w:sz="8" w:space="0" w:color="94D3ED" w:themeColor="accent1" w:themeTint="BF"/>
          <w:bottom w:val="single" w:sz="8" w:space="0" w:color="94D3ED" w:themeColor="accent1" w:themeTint="BF"/>
          <w:right w:val="single" w:sz="8" w:space="0" w:color="94D3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BF0F9" w:themeFill="accent1" w:themeFillTint="3F"/>
      </w:tcPr>
    </w:tblStylePr>
    <w:tblStylePr w:type="band1Horz">
      <w:tblPr/>
      <w:tcPr>
        <w:tcBorders>
          <w:insideH w:val="nil"/>
          <w:insideV w:val="nil"/>
        </w:tcBorders>
        <w:shd w:val="clear" w:color="auto" w:fill="DBF0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single" w:sz="8" w:space="0" w:color="9BDF46" w:themeColor="accent2" w:themeTint="BF"/>
      </w:tblBorders>
    </w:tblPr>
    <w:tblStylePr w:type="firstRow">
      <w:pPr>
        <w:spacing w:before="0" w:after="0" w:line="240" w:lineRule="auto"/>
      </w:pPr>
      <w:rPr>
        <w:b/>
        <w:bCs/>
        <w:color w:val="FFFFFF" w:themeColor="background1"/>
      </w:rPr>
      <w:tblPr/>
      <w:tcPr>
        <w:tcBorders>
          <w:top w:val="single" w:sz="8"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nil"/>
          <w:insideV w:val="nil"/>
        </w:tcBorders>
        <w:shd w:val="clear" w:color="auto" w:fill="78BE20" w:themeFill="accent2"/>
      </w:tcPr>
    </w:tblStylePr>
    <w:tblStylePr w:type="lastRow">
      <w:pPr>
        <w:spacing w:before="0" w:after="0" w:line="240" w:lineRule="auto"/>
      </w:pPr>
      <w:rPr>
        <w:b/>
        <w:bCs/>
      </w:rPr>
      <w:tblPr/>
      <w:tcPr>
        <w:tcBorders>
          <w:top w:val="double" w:sz="6" w:space="0" w:color="9BDF46" w:themeColor="accent2" w:themeTint="BF"/>
          <w:left w:val="single" w:sz="8" w:space="0" w:color="9BDF46" w:themeColor="accent2" w:themeTint="BF"/>
          <w:bottom w:val="single" w:sz="8" w:space="0" w:color="9BDF46" w:themeColor="accent2" w:themeTint="BF"/>
          <w:right w:val="single" w:sz="8" w:space="0" w:color="9BDF4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F4C1" w:themeFill="accent2" w:themeFillTint="3F"/>
      </w:tcPr>
    </w:tblStylePr>
    <w:tblStylePr w:type="band1Horz">
      <w:tblPr/>
      <w:tcPr>
        <w:tcBorders>
          <w:insideH w:val="nil"/>
          <w:insideV w:val="nil"/>
        </w:tcBorders>
        <w:shd w:val="clear" w:color="auto" w:fill="DEF4C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single" w:sz="8" w:space="0" w:color="BFE4F4" w:themeColor="accent5" w:themeTint="BF"/>
      </w:tblBorders>
    </w:tblPr>
    <w:tblStylePr w:type="firstRow">
      <w:pPr>
        <w:spacing w:before="0" w:after="0" w:line="240" w:lineRule="auto"/>
      </w:pPr>
      <w:rPr>
        <w:b/>
        <w:bCs/>
        <w:color w:val="FFFFFF" w:themeColor="background1"/>
      </w:rPr>
      <w:tblPr/>
      <w:tcPr>
        <w:tcBorders>
          <w:top w:val="single" w:sz="8"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nil"/>
          <w:insideV w:val="nil"/>
        </w:tcBorders>
        <w:shd w:val="clear" w:color="auto" w:fill="AADCF1" w:themeFill="accent5"/>
      </w:tcPr>
    </w:tblStylePr>
    <w:tblStylePr w:type="lastRow">
      <w:pPr>
        <w:spacing w:before="0" w:after="0" w:line="240" w:lineRule="auto"/>
      </w:pPr>
      <w:rPr>
        <w:b/>
        <w:bCs/>
      </w:rPr>
      <w:tblPr/>
      <w:tcPr>
        <w:tcBorders>
          <w:top w:val="double" w:sz="6" w:space="0" w:color="BFE4F4" w:themeColor="accent5" w:themeTint="BF"/>
          <w:left w:val="single" w:sz="8" w:space="0" w:color="BFE4F4" w:themeColor="accent5" w:themeTint="BF"/>
          <w:bottom w:val="single" w:sz="8" w:space="0" w:color="BFE4F4" w:themeColor="accent5" w:themeTint="BF"/>
          <w:right w:val="single" w:sz="8" w:space="0" w:color="BFE4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6FB" w:themeFill="accent5" w:themeFillTint="3F"/>
      </w:tcPr>
    </w:tblStylePr>
    <w:tblStylePr w:type="band1Horz">
      <w:tblPr/>
      <w:tcPr>
        <w:tcBorders>
          <w:insideH w:val="nil"/>
          <w:insideV w:val="nil"/>
        </w:tcBorders>
        <w:shd w:val="clear" w:color="auto" w:fill="E9F6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single" w:sz="8" w:space="0" w:color="C2E19A" w:themeColor="accent6" w:themeTint="BF"/>
      </w:tblBorders>
    </w:tblPr>
    <w:tblStylePr w:type="firstRow">
      <w:pPr>
        <w:spacing w:before="0" w:after="0" w:line="240" w:lineRule="auto"/>
      </w:pPr>
      <w:rPr>
        <w:b/>
        <w:bCs/>
        <w:color w:val="FFFFFF" w:themeColor="background1"/>
      </w:rPr>
      <w:tblPr/>
      <w:tcPr>
        <w:tcBorders>
          <w:top w:val="single" w:sz="8"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nil"/>
          <w:insideV w:val="nil"/>
        </w:tcBorders>
        <w:shd w:val="clear" w:color="auto" w:fill="AED879" w:themeFill="accent6"/>
      </w:tcPr>
    </w:tblStylePr>
    <w:tblStylePr w:type="lastRow">
      <w:pPr>
        <w:spacing w:before="0" w:after="0" w:line="240" w:lineRule="auto"/>
      </w:pPr>
      <w:rPr>
        <w:b/>
        <w:bCs/>
      </w:rPr>
      <w:tblPr/>
      <w:tcPr>
        <w:tcBorders>
          <w:top w:val="double" w:sz="6" w:space="0" w:color="C2E19A" w:themeColor="accent6" w:themeTint="BF"/>
          <w:left w:val="single" w:sz="8" w:space="0" w:color="C2E19A" w:themeColor="accent6" w:themeTint="BF"/>
          <w:bottom w:val="single" w:sz="8" w:space="0" w:color="C2E19A" w:themeColor="accent6" w:themeTint="BF"/>
          <w:right w:val="single" w:sz="8" w:space="0" w:color="C2E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5DD" w:themeFill="accent6" w:themeFillTint="3F"/>
      </w:tcPr>
    </w:tblStylePr>
    <w:tblStylePr w:type="band1Horz">
      <w:tblPr/>
      <w:tcPr>
        <w:tcBorders>
          <w:insideH w:val="nil"/>
          <w:insideV w:val="nil"/>
        </w:tcBorders>
        <w:shd w:val="clear" w:color="auto" w:fill="EAF5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C5E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C5E8" w:themeFill="accent1"/>
      </w:tcPr>
    </w:tblStylePr>
    <w:tblStylePr w:type="lastCol">
      <w:rPr>
        <w:b/>
        <w:bCs/>
        <w:color w:val="FFFFFF" w:themeColor="background1"/>
      </w:rPr>
      <w:tblPr/>
      <w:tcPr>
        <w:tcBorders>
          <w:left w:val="nil"/>
          <w:right w:val="nil"/>
          <w:insideH w:val="nil"/>
          <w:insideV w:val="nil"/>
        </w:tcBorders>
        <w:shd w:val="clear" w:color="auto" w:fill="71C5E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BE2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8BE20" w:themeFill="accent2"/>
      </w:tcPr>
    </w:tblStylePr>
    <w:tblStylePr w:type="lastCol">
      <w:rPr>
        <w:b/>
        <w:bCs/>
        <w:color w:val="FFFFFF" w:themeColor="background1"/>
      </w:rPr>
      <w:tblPr/>
      <w:tcPr>
        <w:tcBorders>
          <w:left w:val="nil"/>
          <w:right w:val="nil"/>
          <w:insideH w:val="nil"/>
          <w:insideV w:val="nil"/>
        </w:tcBorders>
        <w:shd w:val="clear" w:color="auto" w:fill="78BE2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C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CF1" w:themeFill="accent5"/>
      </w:tcPr>
    </w:tblStylePr>
    <w:tblStylePr w:type="lastCol">
      <w:rPr>
        <w:b/>
        <w:bCs/>
        <w:color w:val="FFFFFF" w:themeColor="background1"/>
      </w:rPr>
      <w:tblPr/>
      <w:tcPr>
        <w:tcBorders>
          <w:left w:val="nil"/>
          <w:right w:val="nil"/>
          <w:insideH w:val="nil"/>
          <w:insideV w:val="nil"/>
        </w:tcBorders>
        <w:shd w:val="clear" w:color="auto" w:fill="AADC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D8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D879" w:themeFill="accent6"/>
      </w:tcPr>
    </w:tblStylePr>
    <w:tblStylePr w:type="lastCol">
      <w:rPr>
        <w:b/>
        <w:bCs/>
        <w:color w:val="FFFFFF" w:themeColor="background1"/>
      </w:rPr>
      <w:tblPr/>
      <w:tcPr>
        <w:tcBorders>
          <w:left w:val="nil"/>
          <w:right w:val="nil"/>
          <w:insideH w:val="nil"/>
          <w:insideV w:val="nil"/>
        </w:tcBorders>
        <w:shd w:val="clear" w:color="auto" w:fill="AED8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71C5E8" w:themeFill="accent1"/>
      </w:tcPr>
    </w:tblStylePr>
    <w:tblStylePr w:type="firstCol">
      <w:tblPr/>
      <w:tcPr>
        <w:shd w:val="clear" w:color="auto" w:fill="FFFFFF" w:themeFill="background1"/>
      </w:tcPr>
    </w:tblStylePr>
    <w:tblStylePr w:type="band1Vert">
      <w:tblPr/>
      <w:tcPr>
        <w:shd w:val="clear" w:color="auto" w:fill="E3F3F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aliases w:val="Heading x,Capire List Paragraph,BulletPoints,DdeM List Paragraph"/>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71C5E8"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71C5E8" w:themeColor="accent1"/>
        <w:left w:val="single" w:sz="4" w:space="12" w:color="71C5E8" w:themeColor="accent1"/>
        <w:bottom w:val="single" w:sz="4" w:space="14" w:color="71C5E8" w:themeColor="accent1"/>
        <w:right w:val="single" w:sz="4" w:space="12" w:color="71C5E8" w:themeColor="accent1"/>
      </w:pBdr>
      <w:shd w:val="clear" w:color="auto" w:fill="71C5E8"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ListParagraphChar">
    <w:name w:val="List Paragraph Char"/>
    <w:aliases w:val="Heading x Char,Capire List Paragraph Char,BulletPoints Char,DdeM List Paragraph Char"/>
    <w:link w:val="ListParagraph"/>
    <w:uiPriority w:val="34"/>
    <w:locked/>
    <w:rsid w:val="00411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027828019">
      <w:bodyDiv w:val="1"/>
      <w:marLeft w:val="0"/>
      <w:marRight w:val="0"/>
      <w:marTop w:val="0"/>
      <w:marBottom w:val="0"/>
      <w:divBdr>
        <w:top w:val="none" w:sz="0" w:space="0" w:color="auto"/>
        <w:left w:val="none" w:sz="0" w:space="0" w:color="auto"/>
        <w:bottom w:val="none" w:sz="0" w:space="0" w:color="auto"/>
        <w:right w:val="none" w:sz="0" w:space="0" w:color="auto"/>
      </w:divBdr>
      <w:divsChild>
        <w:div w:id="93138999">
          <w:marLeft w:val="0"/>
          <w:marRight w:val="0"/>
          <w:marTop w:val="0"/>
          <w:marBottom w:val="0"/>
          <w:divBdr>
            <w:top w:val="none" w:sz="0" w:space="0" w:color="auto"/>
            <w:left w:val="none" w:sz="0" w:space="0" w:color="auto"/>
            <w:bottom w:val="none" w:sz="0" w:space="0" w:color="auto"/>
            <w:right w:val="none" w:sz="0" w:space="0" w:color="auto"/>
          </w:divBdr>
        </w:div>
        <w:div w:id="331490880">
          <w:marLeft w:val="0"/>
          <w:marRight w:val="0"/>
          <w:marTop w:val="0"/>
          <w:marBottom w:val="0"/>
          <w:divBdr>
            <w:top w:val="none" w:sz="0" w:space="0" w:color="auto"/>
            <w:left w:val="none" w:sz="0" w:space="0" w:color="auto"/>
            <w:bottom w:val="none" w:sz="0" w:space="0" w:color="auto"/>
            <w:right w:val="none" w:sz="0" w:space="0" w:color="auto"/>
          </w:divBdr>
        </w:div>
        <w:div w:id="885022837">
          <w:marLeft w:val="0"/>
          <w:marRight w:val="0"/>
          <w:marTop w:val="0"/>
          <w:marBottom w:val="0"/>
          <w:divBdr>
            <w:top w:val="none" w:sz="0" w:space="0" w:color="auto"/>
            <w:left w:val="none" w:sz="0" w:space="0" w:color="auto"/>
            <w:bottom w:val="none" w:sz="0" w:space="0" w:color="auto"/>
            <w:right w:val="none" w:sz="0" w:space="0" w:color="auto"/>
          </w:divBdr>
        </w:div>
        <w:div w:id="1098524834">
          <w:marLeft w:val="0"/>
          <w:marRight w:val="0"/>
          <w:marTop w:val="0"/>
          <w:marBottom w:val="0"/>
          <w:divBdr>
            <w:top w:val="none" w:sz="0" w:space="0" w:color="auto"/>
            <w:left w:val="none" w:sz="0" w:space="0" w:color="auto"/>
            <w:bottom w:val="none" w:sz="0" w:space="0" w:color="auto"/>
            <w:right w:val="none" w:sz="0" w:space="0" w:color="auto"/>
          </w:divBdr>
        </w:div>
        <w:div w:id="1858037639">
          <w:marLeft w:val="0"/>
          <w:marRight w:val="0"/>
          <w:marTop w:val="0"/>
          <w:marBottom w:val="0"/>
          <w:divBdr>
            <w:top w:val="none" w:sz="0" w:space="0" w:color="auto"/>
            <w:left w:val="none" w:sz="0" w:space="0" w:color="auto"/>
            <w:bottom w:val="none" w:sz="0" w:space="0" w:color="auto"/>
            <w:right w:val="none" w:sz="0" w:space="0" w:color="auto"/>
          </w:divBdr>
        </w:div>
      </w:divsChild>
    </w:div>
    <w:div w:id="1146627103">
      <w:bodyDiv w:val="1"/>
      <w:marLeft w:val="0"/>
      <w:marRight w:val="0"/>
      <w:marTop w:val="0"/>
      <w:marBottom w:val="0"/>
      <w:divBdr>
        <w:top w:val="none" w:sz="0" w:space="0" w:color="auto"/>
        <w:left w:val="none" w:sz="0" w:space="0" w:color="auto"/>
        <w:bottom w:val="none" w:sz="0" w:space="0" w:color="auto"/>
        <w:right w:val="none" w:sz="0" w:space="0" w:color="auto"/>
      </w:divBdr>
      <w:divsChild>
        <w:div w:id="62066603">
          <w:marLeft w:val="0"/>
          <w:marRight w:val="0"/>
          <w:marTop w:val="0"/>
          <w:marBottom w:val="0"/>
          <w:divBdr>
            <w:top w:val="none" w:sz="0" w:space="0" w:color="auto"/>
            <w:left w:val="none" w:sz="0" w:space="0" w:color="auto"/>
            <w:bottom w:val="none" w:sz="0" w:space="0" w:color="auto"/>
            <w:right w:val="none" w:sz="0" w:space="0" w:color="auto"/>
          </w:divBdr>
        </w:div>
        <w:div w:id="375282610">
          <w:marLeft w:val="0"/>
          <w:marRight w:val="0"/>
          <w:marTop w:val="0"/>
          <w:marBottom w:val="0"/>
          <w:divBdr>
            <w:top w:val="none" w:sz="0" w:space="0" w:color="auto"/>
            <w:left w:val="none" w:sz="0" w:space="0" w:color="auto"/>
            <w:bottom w:val="none" w:sz="0" w:space="0" w:color="auto"/>
            <w:right w:val="none" w:sz="0" w:space="0" w:color="auto"/>
          </w:divBdr>
        </w:div>
        <w:div w:id="818116700">
          <w:marLeft w:val="0"/>
          <w:marRight w:val="0"/>
          <w:marTop w:val="0"/>
          <w:marBottom w:val="0"/>
          <w:divBdr>
            <w:top w:val="none" w:sz="0" w:space="0" w:color="auto"/>
            <w:left w:val="none" w:sz="0" w:space="0" w:color="auto"/>
            <w:bottom w:val="none" w:sz="0" w:space="0" w:color="auto"/>
            <w:right w:val="none" w:sz="0" w:space="0" w:color="auto"/>
          </w:divBdr>
        </w:div>
        <w:div w:id="1511094452">
          <w:marLeft w:val="0"/>
          <w:marRight w:val="0"/>
          <w:marTop w:val="0"/>
          <w:marBottom w:val="0"/>
          <w:divBdr>
            <w:top w:val="none" w:sz="0" w:space="0" w:color="auto"/>
            <w:left w:val="none" w:sz="0" w:space="0" w:color="auto"/>
            <w:bottom w:val="none" w:sz="0" w:space="0" w:color="auto"/>
            <w:right w:val="none" w:sz="0" w:space="0" w:color="auto"/>
          </w:divBdr>
        </w:div>
        <w:div w:id="1769034710">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11464178">
      <w:bodyDiv w:val="1"/>
      <w:marLeft w:val="0"/>
      <w:marRight w:val="0"/>
      <w:marTop w:val="0"/>
      <w:marBottom w:val="0"/>
      <w:divBdr>
        <w:top w:val="none" w:sz="0" w:space="0" w:color="auto"/>
        <w:left w:val="none" w:sz="0" w:space="0" w:color="auto"/>
        <w:bottom w:val="none" w:sz="0" w:space="0" w:color="auto"/>
        <w:right w:val="none" w:sz="0" w:space="0" w:color="auto"/>
      </w:divBdr>
      <w:divsChild>
        <w:div w:id="884218567">
          <w:marLeft w:val="0"/>
          <w:marRight w:val="0"/>
          <w:marTop w:val="0"/>
          <w:marBottom w:val="0"/>
          <w:divBdr>
            <w:top w:val="none" w:sz="0" w:space="0" w:color="auto"/>
            <w:left w:val="none" w:sz="0" w:space="0" w:color="auto"/>
            <w:bottom w:val="none" w:sz="0" w:space="0" w:color="auto"/>
            <w:right w:val="none" w:sz="0" w:space="0" w:color="auto"/>
          </w:divBdr>
        </w:div>
        <w:div w:id="1333293940">
          <w:marLeft w:val="0"/>
          <w:marRight w:val="0"/>
          <w:marTop w:val="0"/>
          <w:marBottom w:val="0"/>
          <w:divBdr>
            <w:top w:val="none" w:sz="0" w:space="0" w:color="auto"/>
            <w:left w:val="none" w:sz="0" w:space="0" w:color="auto"/>
            <w:bottom w:val="none" w:sz="0" w:space="0" w:color="auto"/>
            <w:right w:val="none" w:sz="0" w:space="0" w:color="auto"/>
          </w:divBdr>
        </w:div>
        <w:div w:id="1468084696">
          <w:marLeft w:val="0"/>
          <w:marRight w:val="0"/>
          <w:marTop w:val="0"/>
          <w:marBottom w:val="0"/>
          <w:divBdr>
            <w:top w:val="none" w:sz="0" w:space="0" w:color="auto"/>
            <w:left w:val="none" w:sz="0" w:space="0" w:color="auto"/>
            <w:bottom w:val="none" w:sz="0" w:space="0" w:color="auto"/>
            <w:right w:val="none" w:sz="0" w:space="0" w:color="auto"/>
          </w:divBdr>
        </w:div>
        <w:div w:id="1616401746">
          <w:marLeft w:val="0"/>
          <w:marRight w:val="0"/>
          <w:marTop w:val="0"/>
          <w:marBottom w:val="0"/>
          <w:divBdr>
            <w:top w:val="none" w:sz="0" w:space="0" w:color="auto"/>
            <w:left w:val="none" w:sz="0" w:space="0" w:color="auto"/>
            <w:bottom w:val="none" w:sz="0" w:space="0" w:color="auto"/>
            <w:right w:val="none" w:sz="0" w:space="0" w:color="auto"/>
          </w:divBdr>
        </w:div>
        <w:div w:id="1691643944">
          <w:marLeft w:val="0"/>
          <w:marRight w:val="0"/>
          <w:marTop w:val="0"/>
          <w:marBottom w:val="0"/>
          <w:divBdr>
            <w:top w:val="none" w:sz="0" w:space="0" w:color="auto"/>
            <w:left w:val="none" w:sz="0" w:space="0" w:color="auto"/>
            <w:bottom w:val="none" w:sz="0" w:space="0" w:color="auto"/>
            <w:right w:val="none" w:sz="0" w:space="0" w:color="auto"/>
          </w:divBdr>
        </w:div>
      </w:divsChild>
    </w:div>
    <w:div w:id="1640070884">
      <w:bodyDiv w:val="1"/>
      <w:marLeft w:val="0"/>
      <w:marRight w:val="0"/>
      <w:marTop w:val="0"/>
      <w:marBottom w:val="0"/>
      <w:divBdr>
        <w:top w:val="none" w:sz="0" w:space="0" w:color="auto"/>
        <w:left w:val="none" w:sz="0" w:space="0" w:color="auto"/>
        <w:bottom w:val="none" w:sz="0" w:space="0" w:color="auto"/>
        <w:right w:val="none" w:sz="0" w:space="0" w:color="auto"/>
      </w:divBdr>
      <w:divsChild>
        <w:div w:id="127671584">
          <w:marLeft w:val="0"/>
          <w:marRight w:val="0"/>
          <w:marTop w:val="0"/>
          <w:marBottom w:val="0"/>
          <w:divBdr>
            <w:top w:val="none" w:sz="0" w:space="0" w:color="auto"/>
            <w:left w:val="none" w:sz="0" w:space="0" w:color="auto"/>
            <w:bottom w:val="none" w:sz="0" w:space="0" w:color="auto"/>
            <w:right w:val="none" w:sz="0" w:space="0" w:color="auto"/>
          </w:divBdr>
        </w:div>
        <w:div w:id="376784973">
          <w:marLeft w:val="0"/>
          <w:marRight w:val="0"/>
          <w:marTop w:val="0"/>
          <w:marBottom w:val="0"/>
          <w:divBdr>
            <w:top w:val="none" w:sz="0" w:space="0" w:color="auto"/>
            <w:left w:val="none" w:sz="0" w:space="0" w:color="auto"/>
            <w:bottom w:val="none" w:sz="0" w:space="0" w:color="auto"/>
            <w:right w:val="none" w:sz="0" w:space="0" w:color="auto"/>
          </w:divBdr>
        </w:div>
        <w:div w:id="913592479">
          <w:marLeft w:val="0"/>
          <w:marRight w:val="0"/>
          <w:marTop w:val="0"/>
          <w:marBottom w:val="0"/>
          <w:divBdr>
            <w:top w:val="none" w:sz="0" w:space="0" w:color="auto"/>
            <w:left w:val="none" w:sz="0" w:space="0" w:color="auto"/>
            <w:bottom w:val="none" w:sz="0" w:space="0" w:color="auto"/>
            <w:right w:val="none" w:sz="0" w:space="0" w:color="auto"/>
          </w:divBdr>
        </w:div>
        <w:div w:id="1401564040">
          <w:marLeft w:val="0"/>
          <w:marRight w:val="0"/>
          <w:marTop w:val="0"/>
          <w:marBottom w:val="0"/>
          <w:divBdr>
            <w:top w:val="none" w:sz="0" w:space="0" w:color="auto"/>
            <w:left w:val="none" w:sz="0" w:space="0" w:color="auto"/>
            <w:bottom w:val="none" w:sz="0" w:space="0" w:color="auto"/>
            <w:right w:val="none" w:sz="0" w:space="0" w:color="auto"/>
          </w:divBdr>
        </w:div>
        <w:div w:id="1947417806">
          <w:marLeft w:val="0"/>
          <w:marRight w:val="0"/>
          <w:marTop w:val="0"/>
          <w:marBottom w:val="0"/>
          <w:divBdr>
            <w:top w:val="none" w:sz="0" w:space="0" w:color="auto"/>
            <w:left w:val="none" w:sz="0" w:space="0" w:color="auto"/>
            <w:bottom w:val="none" w:sz="0" w:space="0" w:color="auto"/>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908565022">
      <w:bodyDiv w:val="1"/>
      <w:marLeft w:val="0"/>
      <w:marRight w:val="0"/>
      <w:marTop w:val="0"/>
      <w:marBottom w:val="0"/>
      <w:divBdr>
        <w:top w:val="none" w:sz="0" w:space="0" w:color="auto"/>
        <w:left w:val="none" w:sz="0" w:space="0" w:color="auto"/>
        <w:bottom w:val="none" w:sz="0" w:space="0" w:color="auto"/>
        <w:right w:val="none" w:sz="0" w:space="0" w:color="auto"/>
      </w:divBdr>
      <w:divsChild>
        <w:div w:id="871965804">
          <w:marLeft w:val="0"/>
          <w:marRight w:val="0"/>
          <w:marTop w:val="0"/>
          <w:marBottom w:val="0"/>
          <w:divBdr>
            <w:top w:val="none" w:sz="0" w:space="0" w:color="auto"/>
            <w:left w:val="none" w:sz="0" w:space="0" w:color="auto"/>
            <w:bottom w:val="none" w:sz="0" w:space="0" w:color="auto"/>
            <w:right w:val="none" w:sz="0" w:space="0" w:color="auto"/>
          </w:divBdr>
        </w:div>
        <w:div w:id="1015763785">
          <w:marLeft w:val="0"/>
          <w:marRight w:val="0"/>
          <w:marTop w:val="0"/>
          <w:marBottom w:val="0"/>
          <w:divBdr>
            <w:top w:val="none" w:sz="0" w:space="0" w:color="auto"/>
            <w:left w:val="none" w:sz="0" w:space="0" w:color="auto"/>
            <w:bottom w:val="none" w:sz="0" w:space="0" w:color="auto"/>
            <w:right w:val="none" w:sz="0" w:space="0" w:color="auto"/>
          </w:divBdr>
        </w:div>
        <w:div w:id="1250311235">
          <w:marLeft w:val="0"/>
          <w:marRight w:val="0"/>
          <w:marTop w:val="0"/>
          <w:marBottom w:val="0"/>
          <w:divBdr>
            <w:top w:val="none" w:sz="0" w:space="0" w:color="auto"/>
            <w:left w:val="none" w:sz="0" w:space="0" w:color="auto"/>
            <w:bottom w:val="none" w:sz="0" w:space="0" w:color="auto"/>
            <w:right w:val="none" w:sz="0" w:space="0" w:color="auto"/>
          </w:divBdr>
        </w:div>
        <w:div w:id="1386758188">
          <w:marLeft w:val="0"/>
          <w:marRight w:val="0"/>
          <w:marTop w:val="0"/>
          <w:marBottom w:val="0"/>
          <w:divBdr>
            <w:top w:val="none" w:sz="0" w:space="0" w:color="auto"/>
            <w:left w:val="none" w:sz="0" w:space="0" w:color="auto"/>
            <w:bottom w:val="none" w:sz="0" w:space="0" w:color="auto"/>
            <w:right w:val="none" w:sz="0" w:space="0" w:color="auto"/>
          </w:divBdr>
        </w:div>
        <w:div w:id="1769809797">
          <w:marLeft w:val="0"/>
          <w:marRight w:val="0"/>
          <w:marTop w:val="0"/>
          <w:marBottom w:val="0"/>
          <w:divBdr>
            <w:top w:val="none" w:sz="0" w:space="0" w:color="auto"/>
            <w:left w:val="none" w:sz="0" w:space="0" w:color="auto"/>
            <w:bottom w:val="none" w:sz="0" w:space="0" w:color="auto"/>
            <w:right w:val="none" w:sz="0" w:space="0" w:color="auto"/>
          </w:divBdr>
        </w:div>
      </w:divsChild>
    </w:div>
    <w:div w:id="1991592158">
      <w:bodyDiv w:val="1"/>
      <w:marLeft w:val="0"/>
      <w:marRight w:val="0"/>
      <w:marTop w:val="0"/>
      <w:marBottom w:val="0"/>
      <w:divBdr>
        <w:top w:val="none" w:sz="0" w:space="0" w:color="auto"/>
        <w:left w:val="none" w:sz="0" w:space="0" w:color="auto"/>
        <w:bottom w:val="none" w:sz="0" w:space="0" w:color="auto"/>
        <w:right w:val="none" w:sz="0" w:space="0" w:color="auto"/>
      </w:divBdr>
      <w:divsChild>
        <w:div w:id="87583454">
          <w:marLeft w:val="0"/>
          <w:marRight w:val="0"/>
          <w:marTop w:val="0"/>
          <w:marBottom w:val="0"/>
          <w:divBdr>
            <w:top w:val="none" w:sz="0" w:space="0" w:color="auto"/>
            <w:left w:val="none" w:sz="0" w:space="0" w:color="auto"/>
            <w:bottom w:val="none" w:sz="0" w:space="0" w:color="auto"/>
            <w:right w:val="none" w:sz="0" w:space="0" w:color="auto"/>
          </w:divBdr>
        </w:div>
        <w:div w:id="635529277">
          <w:marLeft w:val="0"/>
          <w:marRight w:val="0"/>
          <w:marTop w:val="0"/>
          <w:marBottom w:val="0"/>
          <w:divBdr>
            <w:top w:val="none" w:sz="0" w:space="0" w:color="auto"/>
            <w:left w:val="none" w:sz="0" w:space="0" w:color="auto"/>
            <w:bottom w:val="none" w:sz="0" w:space="0" w:color="auto"/>
            <w:right w:val="none" w:sz="0" w:space="0" w:color="auto"/>
          </w:divBdr>
        </w:div>
        <w:div w:id="1009479790">
          <w:marLeft w:val="0"/>
          <w:marRight w:val="0"/>
          <w:marTop w:val="0"/>
          <w:marBottom w:val="0"/>
          <w:divBdr>
            <w:top w:val="none" w:sz="0" w:space="0" w:color="auto"/>
            <w:left w:val="none" w:sz="0" w:space="0" w:color="auto"/>
            <w:bottom w:val="none" w:sz="0" w:space="0" w:color="auto"/>
            <w:right w:val="none" w:sz="0" w:space="0" w:color="auto"/>
          </w:divBdr>
        </w:div>
        <w:div w:id="1390689768">
          <w:marLeft w:val="0"/>
          <w:marRight w:val="0"/>
          <w:marTop w:val="0"/>
          <w:marBottom w:val="0"/>
          <w:divBdr>
            <w:top w:val="none" w:sz="0" w:space="0" w:color="auto"/>
            <w:left w:val="none" w:sz="0" w:space="0" w:color="auto"/>
            <w:bottom w:val="none" w:sz="0" w:space="0" w:color="auto"/>
            <w:right w:val="none" w:sz="0" w:space="0" w:color="auto"/>
          </w:divBdr>
        </w:div>
        <w:div w:id="1995838273">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aboriginal.employment@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E3F3FA"/>
      </a:lt2>
      <a:accent1>
        <a:srgbClr val="71C5E8"/>
      </a:accent1>
      <a:accent2>
        <a:srgbClr val="78BE20"/>
      </a:accent2>
      <a:accent3>
        <a:srgbClr val="00B2A9"/>
      </a:accent3>
      <a:accent4>
        <a:srgbClr val="201547"/>
      </a:accent4>
      <a:accent5>
        <a:srgbClr val="AADCF1"/>
      </a:accent5>
      <a:accent6>
        <a:srgbClr val="AED879"/>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customXsn xmlns="http://schemas.microsoft.com/office/2006/metadata/customXsn">
  <xsnLocation/>
  <cached>True</cached>
  <openByDefault>True</openByDefault>
  <xsnScope>/sites/contentTypeHub</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2517F445A0F35E449C98AAD631F2B0380103"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05EB6AB42D2DAE4CB78ED53012F6E81E" ma:contentTypeVersion="20" ma:contentTypeDescription="" ma:contentTypeScope="" ma:versionID="3f0f8e769c1137b0367a759d37cd8f1c">
  <xsd:schema xmlns:xsd="http://www.w3.org/2001/XMLSchema" xmlns:xs="http://www.w3.org/2001/XMLSchema" xmlns:p="http://schemas.microsoft.com/office/2006/metadata/properties" xmlns:ns1="http://schemas.microsoft.com/sharepoint/v3" xmlns:ns2="a5f32de4-e402-4188-b034-e71ca7d22e54" xmlns:ns3="9fd47c19-1c4a-4d7d-b342-c10cef269344" xmlns:ns4="8e692d57-3e24-4628-9a5e-feb9442b84aa" targetNamespace="http://schemas.microsoft.com/office/2006/metadata/properties" ma:root="true" ma:fieldsID="1593d605ef7bb594c691e3ddaa8c9007" ns1:_="" ns2:_="" ns3:_="" ns4:_="">
    <xsd:import namespace="http://schemas.microsoft.com/sharepoint/v3"/>
    <xsd:import namespace="a5f32de4-e402-4188-b034-e71ca7d22e54"/>
    <xsd:import namespace="9fd47c19-1c4a-4d7d-b342-c10cef269344"/>
    <xsd:import namespace="8e692d57-3e24-4628-9a5e-feb9442b84aa"/>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3:ld508a88e6264ce89693af80a72862cb" minOccurs="0"/>
                <xsd:element ref="ns2:Reference_x0020_Number" minOccurs="0"/>
                <xsd:element ref="ns4:ca3c1144fd584174831c3c1078f69749" minOccurs="0"/>
                <xsd:element ref="ns2:Financial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2" nillable="true" ma:displayName="Reference Number" ma:internalName="Reference_x0020_Number">
      <xsd:simpleType>
        <xsd:restriction base="dms:Text">
          <xsd:maxLength value="255"/>
        </xsd:restriction>
      </xsd:simpleType>
    </xsd:element>
    <xsd:element name="Financial_x0020_Year" ma:index="35"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32;#Statewide Infrastructure Projects|9074b3cf-e95a-479d-8ccc-a08ece90e583"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9d840e4-a7fa-4382-87eb-262c0d33779a}" ma:internalName="TaxCatchAll" ma:showField="CatchAllData" ma:web="8e692d57-3e24-4628-9a5e-feb9442b84aa">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f9d840e4-a7fa-4382-87eb-262c0d33779a}" ma:internalName="TaxCatchAllLabel" ma:readOnly="true" ma:showField="CatchAllDataLabel" ma:web="8e692d57-3e24-4628-9a5e-feb9442b84aa">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4;#Water and Catchments|04babe5f-fe90-4982-9f33-c4fc8f4bb6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12;#Statewide Infrastructure and Rural Strategy|fd43e37d-8976-499e-af6e-f6791ede5197"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1"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692d57-3e24-4628-9a5e-feb9442b84aa" elementFormDefault="qualified">
    <xsd:import namespace="http://schemas.microsoft.com/office/2006/documentManagement/types"/>
    <xsd:import namespace="http://schemas.microsoft.com/office/infopath/2007/PartnerControls"/>
    <xsd:element name="ca3c1144fd584174831c3c1078f69749" ma:index="34" nillable="true" ma:taxonomy="true" ma:internalName="ca3c1144fd584174831c3c1078f69749" ma:taxonomyFieldName="HR_x0020_Category" ma:displayName="HR Category" ma:default="" ma:fieldId="{ca3c1144-fd58-4174-831c-3c1078f69749}" ma:sspId="797aeec6-0273-40f2-ab3e-beee73212332" ma:termSetId="510eef54-3754-41ee-b6bc-33ab4024637e"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32</Value>
      <Value>12</Value>
      <Value>4</Value>
      <Value>3</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inancial_x0020_Year xmlns="a5f32de4-e402-4188-b034-e71ca7d22e5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DOCID97-31367292-202</_dlc_DocId>
    <_dlc_DocIdUrl xmlns="a5f32de4-e402-4188-b034-e71ca7d22e54">
      <Url>https://delwpvicgovau.sharepoint.com/sites/ecm_97/_layouts/15/DocIdRedir.aspx?ID=DOCID97-31367292-202</Url>
      <Description>DOCID97-31367292-202</Description>
    </_dlc_DocIdUr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Statewide Infrastructure and Rural Strategy</TermName>
          <TermId xmlns="http://schemas.microsoft.com/office/infopath/2007/PartnerControls">fd43e37d-8976-499e-af6e-f6791ede5197</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Statewide Infrastructure Projects</TermName>
          <TermId xmlns="http://schemas.microsoft.com/office/infopath/2007/PartnerControls">9074b3cf-e95a-479d-8ccc-a08ece90e583</TermId>
        </TermInfo>
      </Terms>
    </mfe9accc5a0b4653a7b513b67ffd122d>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Water and Catchments</TermName>
          <TermId xmlns="http://schemas.microsoft.com/office/infopath/2007/PartnerControls">04babe5f-fe90-4982-9f33-c4fc8f4bb63f</TermId>
        </TermInfo>
      </Terms>
    </ic50d0a05a8e4d9791dac67f8a1e716c>
    <Language xmlns="http://schemas.microsoft.com/sharepoint/v3">English</Language>
    <k1bd994a94c2413797db3bab8f123f6f xmlns="9fd47c19-1c4a-4d7d-b342-c10cef269344">
      <Terms xmlns="http://schemas.microsoft.com/office/infopath/2007/PartnerControls"/>
    </k1bd994a94c2413797db3bab8f123f6f>
    <Reference_x0020_Number xmlns="a5f32de4-e402-4188-b034-e71ca7d22e54" xsi:nil="true"/>
    <RoutingRuleDescription xmlns="http://schemas.microsoft.com/sharepoint/v3" xsi:nil="true"/>
    <ca3c1144fd584174831c3c1078f69749 xmlns="8e692d57-3e24-4628-9a5e-feb9442b84aa">
      <Terms xmlns="http://schemas.microsoft.com/office/infopath/2007/PartnerControls"/>
    </ca3c1144fd584174831c3c1078f69749>
    <a25c4e3633654d669cbaa09ae6b70789 xmlns="9fd47c19-1c4a-4d7d-b342-c10cef269344">
      <Terms xmlns="http://schemas.microsoft.com/office/infopath/2007/PartnerControls"/>
    </a25c4e3633654d669cbaa09ae6b70789>
    <ld508a88e6264ce89693af80a72862cb xmlns="9fd47c19-1c4a-4d7d-b342-c10cef269344">
      <Terms xmlns="http://schemas.microsoft.com/office/infopath/2007/PartnerControls"/>
    </ld508a88e6264ce89693af80a72862cb>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D02D1300-E3CE-442D-8C23-7BAD05482C89}">
  <ds:schemaRefs>
    <ds:schemaRef ds:uri="http://schemas.microsoft.com/office/2006/metadata/customXsn"/>
  </ds:schemaRefs>
</ds:datastoreItem>
</file>

<file path=customXml/itemProps4.xml><?xml version="1.0" encoding="utf-8"?>
<ds:datastoreItem xmlns:ds="http://schemas.openxmlformats.org/officeDocument/2006/customXml" ds:itemID="{8C5EF9E6-0552-4792-9B97-386B7A35A7B1}">
  <ds:schemaRefs>
    <ds:schemaRef ds:uri="http://schemas.microsoft.com/sharepoint/events"/>
  </ds:schemaRefs>
</ds:datastoreItem>
</file>

<file path=customXml/itemProps5.xml><?xml version="1.0" encoding="utf-8"?>
<ds:datastoreItem xmlns:ds="http://schemas.openxmlformats.org/officeDocument/2006/customXml" ds:itemID="{04907D62-6BE5-4BB7-B599-E7120660CB90}">
  <ds:schemaRefs>
    <ds:schemaRef ds:uri="Microsoft.SharePoint.Taxonomy.ContentTypeSync"/>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8DDFDDCD-144C-4913-8B03-6DEBD5569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8e692d57-3e24-4628-9a5e-feb9442b8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
    <ds:schemaRef ds:uri="8e692d57-3e24-4628-9a5e-feb9442b84a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1942</Words>
  <Characters>11076</Characters>
  <Application>Microsoft Office Word</Application>
  <DocSecurity>2</DocSecurity>
  <Lines>92</Lines>
  <Paragraphs>25</Paragraphs>
  <ScaleCrop>false</ScaleCrop>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
  <dc:creator>Maree Lawson (DEECA)</dc:creator>
  <cp:keywords/>
  <dc:description/>
  <cp:lastModifiedBy>Patrick Warke (DEECA)</cp:lastModifiedBy>
  <cp:revision>2</cp:revision>
  <cp:lastPrinted>2022-06-17T02:14:00Z</cp:lastPrinted>
  <dcterms:created xsi:type="dcterms:W3CDTF">2026-09-15T05:54:00Z</dcterms:created>
  <dcterms:modified xsi:type="dcterms:W3CDTF">2026-09-15T05:54:00Z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0x0101002517F445A0F35E449C98AAD631F2B03801030005EB6AB42D2DAE4CB78ED53012F6E81E</vt:lpwstr>
  </property>
  <property fmtid="{D5CDD505-2E9C-101B-9397-08002B2CF9AE}" pid="5" name="MediaServiceImageTags">
    <vt:lpwstr/>
  </property>
  <property fmtid="{D5CDD505-2E9C-101B-9397-08002B2CF9AE}" pid="6" name="_dlc_DocIdItemGuid">
    <vt:lpwstr>7724e31a-1b0f-4a36-a859-48d4dfa66233</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_x0020_Class_x0020_HR_x0020_Admin">
    <vt:lpwstr>345;#Position Description|9b605b16-5ff4-4142-9815-57489365a519</vt:lpwstr>
  </property>
  <property fmtid="{D5CDD505-2E9C-101B-9397-08002B2CF9AE}" pid="24" name="Security_x0020_Classification">
    <vt:lpwstr>3;#Unclassified|7fa379f4-4aba-4692-ab80-7d39d3a23cf4</vt:lpwstr>
  </property>
  <property fmtid="{D5CDD505-2E9C-101B-9397-08002B2CF9AE}" pid="25" name="Department_x0020_Document_x0020_Type">
    <vt:lpwstr/>
  </property>
  <property fmtid="{D5CDD505-2E9C-101B-9397-08002B2CF9AE}" pid="26" name="Dissemination_x0020_Limiting_x0020_Marker">
    <vt:lpwstr>2;#FOUO|955eb6fc-b35a-4808-8aa5-31e514fa3f26</vt:lpwstr>
  </property>
  <property fmtid="{D5CDD505-2E9C-101B-9397-08002B2CF9AE}" pid="27" name="Records Class HR Admin">
    <vt:lpwstr>345;#Position Description|9b605b16-5ff4-4142-9815-57489365a519</vt:lpwstr>
  </property>
  <property fmtid="{D5CDD505-2E9C-101B-9397-08002B2CF9AE}" pid="28" name="_docset_NoMedatataSyncRequired">
    <vt:lpwstr>False</vt:lpwstr>
  </property>
  <property fmtid="{D5CDD505-2E9C-101B-9397-08002B2CF9AE}" pid="29" name="Department Document Type">
    <vt:lpwstr/>
  </property>
  <property fmtid="{D5CDD505-2E9C-101B-9397-08002B2CF9AE}" pid="30" name="Agency">
    <vt:lpwstr>1;#Department of Environment, Land, Water and Planning|607a3f87-1228-4cd9-82a5-076aa8776274</vt:lpwstr>
  </property>
  <property fmtid="{D5CDD505-2E9C-101B-9397-08002B2CF9AE}" pid="31" name="Branch">
    <vt:lpwstr>32;#Statewide Infrastructure Projects|9074b3cf-e95a-479d-8ccc-a08ece90e583</vt:lpwstr>
  </property>
  <property fmtid="{D5CDD505-2E9C-101B-9397-08002B2CF9AE}" pid="32" name="Division">
    <vt:lpwstr>12;#Statewide Infrastructure and Rural Strategy|fd43e37d-8976-499e-af6e-f6791ede5197</vt:lpwstr>
  </property>
  <property fmtid="{D5CDD505-2E9C-101B-9397-08002B2CF9AE}" pid="33" name="Group1">
    <vt:lpwstr>4;#Water and Catchments|04babe5f-fe90-4982-9f33-c4fc8f4bb63f</vt:lpwstr>
  </property>
  <property fmtid="{D5CDD505-2E9C-101B-9397-08002B2CF9AE}" pid="34" name="Section">
    <vt:lpwstr/>
  </property>
  <property fmtid="{D5CDD505-2E9C-101B-9397-08002B2CF9AE}" pid="35" name="HR_x0020_Category">
    <vt:lpwstr/>
  </property>
  <property fmtid="{D5CDD505-2E9C-101B-9397-08002B2CF9AE}" pid="36" name="Sub-Section">
    <vt:lpwstr/>
  </property>
  <property fmtid="{D5CDD505-2E9C-101B-9397-08002B2CF9AE}" pid="37" name="HR Category">
    <vt:lpwstr/>
  </property>
  <property fmtid="{D5CDD505-2E9C-101B-9397-08002B2CF9AE}" pid="38" name="Reference_x0020_Type">
    <vt:lpwstr/>
  </property>
  <property fmtid="{D5CDD505-2E9C-101B-9397-08002B2CF9AE}" pid="39" name="Sub_x002d_Section">
    <vt:lpwstr/>
  </property>
  <property fmtid="{D5CDD505-2E9C-101B-9397-08002B2CF9AE}" pid="40" name="Reference Type">
    <vt:lpwstr/>
  </property>
</Properties>
</file>