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3C2843"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7277E119" w:rsidR="00495B3B" w:rsidRPr="00495B3B" w:rsidRDefault="0095305E" w:rsidP="00495B3B">
            <w:pPr>
              <w:spacing w:before="0" w:after="0"/>
              <w:ind w:left="57" w:right="-450"/>
              <w:rPr>
                <w:rFonts w:ascii="Arial" w:hAnsi="Arial" w:cs="Arial"/>
                <w:color w:val="363534"/>
                <w:szCs w:val="22"/>
              </w:rPr>
            </w:pPr>
            <w:r w:rsidRPr="0E4A0EE4">
              <w:rPr>
                <w:rFonts w:ascii="Arial" w:hAnsi="Arial" w:cs="Arial"/>
                <w:color w:val="363534"/>
              </w:rPr>
              <w:t>Regional Manager Biodiversity Assessment Services North Central</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339BEF1D" w:rsidR="00495B3B" w:rsidRPr="00495B3B" w:rsidRDefault="0095305E" w:rsidP="00495B3B">
            <w:pPr>
              <w:spacing w:before="0" w:after="0"/>
              <w:ind w:left="57" w:right="-450"/>
              <w:rPr>
                <w:rFonts w:ascii="Arial" w:hAnsi="Arial" w:cs="Arial"/>
                <w:color w:val="363534"/>
                <w:szCs w:val="22"/>
              </w:rPr>
            </w:pPr>
            <w:r>
              <w:rPr>
                <w:rFonts w:ascii="Arial" w:hAnsi="Arial" w:cs="Arial"/>
                <w:color w:val="363534"/>
              </w:rPr>
              <w:t>50968274</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2B9C2D3C" w:rsidR="00495B3B" w:rsidRPr="00495B3B" w:rsidRDefault="0095305E" w:rsidP="00495B3B">
            <w:pPr>
              <w:spacing w:before="0" w:after="0"/>
              <w:ind w:left="57" w:right="-450"/>
              <w:rPr>
                <w:rFonts w:ascii="Arial" w:hAnsi="Arial" w:cs="Arial"/>
                <w:color w:val="363534"/>
                <w:szCs w:val="22"/>
              </w:rPr>
            </w:pPr>
            <w:r>
              <w:rPr>
                <w:rFonts w:ascii="Arial" w:hAnsi="Arial" w:cs="Arial"/>
                <w:color w:val="363534"/>
                <w:szCs w:val="22"/>
              </w:rPr>
              <w:t>VPS 6</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68B6E7F6" w:rsidR="00495B3B" w:rsidRPr="0095305E" w:rsidRDefault="0095305E" w:rsidP="00495B3B">
            <w:pPr>
              <w:spacing w:before="0" w:after="0"/>
              <w:ind w:left="57" w:right="-450"/>
              <w:rPr>
                <w:rFonts w:ascii="Arial" w:hAnsi="Arial" w:cs="Arial"/>
                <w:color w:val="363534"/>
                <w:szCs w:val="22"/>
              </w:rPr>
            </w:pPr>
            <w:r w:rsidRPr="0095305E">
              <w:rPr>
                <w:rFonts w:ascii="Arial" w:hAnsi="Arial" w:cs="Arial"/>
                <w:color w:val="363534"/>
                <w:szCs w:val="22"/>
              </w:rPr>
              <w:t>$142,790 - $191,084</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8B7F15D"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116241B0" w:rsidR="00495B3B" w:rsidRPr="00495B3B" w:rsidRDefault="0095305E"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0BB16CC" w:rsidR="00495B3B" w:rsidRPr="00495B3B" w:rsidRDefault="0095305E" w:rsidP="00495B3B">
            <w:pPr>
              <w:spacing w:before="0" w:after="0"/>
              <w:ind w:left="57" w:right="-450"/>
              <w:rPr>
                <w:rFonts w:ascii="Arial" w:hAnsi="Arial" w:cs="Arial"/>
                <w:color w:val="363534"/>
                <w:szCs w:val="22"/>
              </w:rPr>
            </w:pPr>
            <w:r>
              <w:rPr>
                <w:rFonts w:ascii="Arial" w:hAnsi="Arial" w:cs="Arial"/>
                <w:color w:val="363534"/>
                <w:szCs w:val="22"/>
              </w:rPr>
              <w:t>DEECA Regions-Loddon Mallee/Biodiversity Impact Assessment</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7A707A95" w14:textId="77777777" w:rsidR="0095305E" w:rsidRPr="00495B3B" w:rsidRDefault="0095305E" w:rsidP="0095305E">
            <w:pPr>
              <w:spacing w:before="0" w:after="0"/>
              <w:ind w:left="57" w:right="-450"/>
              <w:rPr>
                <w:rFonts w:ascii="Arial" w:hAnsi="Arial" w:cs="Arial"/>
                <w:color w:val="363534"/>
              </w:rPr>
            </w:pPr>
            <w:r w:rsidRPr="652BA456">
              <w:rPr>
                <w:rFonts w:ascii="Arial" w:hAnsi="Arial" w:cs="Arial"/>
                <w:color w:val="363534"/>
              </w:rPr>
              <w:t>Flexible within Loddon Mallee and Port Phillip Regions</w:t>
            </w:r>
          </w:p>
          <w:p w14:paraId="3B7CA3B3" w14:textId="7DB257CB"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5305E">
              <w:rPr>
                <w:rFonts w:ascii="Arial" w:hAnsi="Arial" w:cs="Arial"/>
                <w:color w:val="363534"/>
                <w:szCs w:val="22"/>
              </w:rPr>
              <w:fldChar w:fldCharType="begin">
                <w:ffData>
                  <w:name w:val=""/>
                  <w:enabled/>
                  <w:calcOnExit w:val="0"/>
                  <w:checkBox>
                    <w:size w:val="26"/>
                    <w:default w:val="1"/>
                  </w:checkBox>
                </w:ffData>
              </w:fldChar>
            </w:r>
            <w:r w:rsidR="0095305E">
              <w:rPr>
                <w:rFonts w:ascii="Arial" w:hAnsi="Arial" w:cs="Arial"/>
                <w:color w:val="363534"/>
                <w:szCs w:val="22"/>
              </w:rPr>
              <w:instrText xml:space="preserve"> FORMCHECKBOX </w:instrText>
            </w:r>
            <w:r w:rsidR="0095305E">
              <w:rPr>
                <w:rFonts w:ascii="Arial" w:hAnsi="Arial" w:cs="Arial"/>
                <w:color w:val="363534"/>
                <w:szCs w:val="22"/>
              </w:rPr>
            </w:r>
            <w:r w:rsidR="0095305E">
              <w:rPr>
                <w:rFonts w:ascii="Arial" w:hAnsi="Arial" w:cs="Arial"/>
                <w:color w:val="363534"/>
                <w:szCs w:val="22"/>
              </w:rPr>
              <w:fldChar w:fldCharType="separate"/>
            </w:r>
            <w:r w:rsidR="0095305E">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E3D2A42" w:rsidR="00495B3B" w:rsidRPr="00495B3B" w:rsidRDefault="0095305E"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Director, Biodiversity Impact Assessment</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24129B23" w:rsidR="00495B3B" w:rsidRPr="00495B3B" w:rsidRDefault="0095305E"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4</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BBCB2D8" w:rsidR="00495B3B" w:rsidRPr="00495B3B" w:rsidRDefault="0095305E" w:rsidP="00495B3B">
            <w:pPr>
              <w:spacing w:before="0" w:after="0"/>
              <w:ind w:left="57" w:right="-450"/>
              <w:rPr>
                <w:rFonts w:ascii="Arial" w:hAnsi="Arial" w:cs="Arial"/>
                <w:color w:val="363534"/>
                <w:szCs w:val="22"/>
              </w:rPr>
            </w:pPr>
            <w:r>
              <w:rPr>
                <w:rFonts w:ascii="Arial" w:hAnsi="Arial" w:cs="Arial"/>
                <w:color w:val="363534"/>
                <w:szCs w:val="22"/>
              </w:rPr>
              <w:t>Emmalene Gottwald 0436 608 084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CE643FD" w14:textId="77777777" w:rsidR="00572337" w:rsidRDefault="00572337" w:rsidP="00572337">
      <w:pPr>
        <w:tabs>
          <w:tab w:val="left" w:pos="10178"/>
        </w:tabs>
        <w:spacing w:before="0"/>
        <w:ind w:right="114"/>
        <w:rPr>
          <w:rFonts w:ascii="Arial" w:hAnsi="Arial" w:cs="Arial"/>
          <w:noProof/>
          <w:color w:val="363534"/>
          <w:lang w:eastAsia="zh-CN"/>
        </w:rPr>
      </w:pPr>
      <w:r w:rsidRPr="0E4A0EE4">
        <w:rPr>
          <w:rFonts w:ascii="Arial" w:hAnsi="Arial" w:cs="Arial"/>
          <w:noProof/>
          <w:color w:val="363534"/>
          <w:lang w:eastAsia="zh-CN"/>
        </w:rPr>
        <w:t xml:space="preserve">The Regional Manager Biodiversity Assessment Services North Central leads a team which provides high quality biodiversity and environmental advice to support the Regions, Environment, Climate Action and First Peoples (RECAFP) Group in successful delivery of government, departmental and community priorities. The Regional Manager is responsible for achieving business excellence and building an inclusive and high performing workforce that is customer focussed, collaborative, professional and engaged. </w:t>
      </w:r>
    </w:p>
    <w:p w14:paraId="7377A1CA" w14:textId="77777777" w:rsidR="00572337" w:rsidRDefault="00572337" w:rsidP="00572337">
      <w:pPr>
        <w:tabs>
          <w:tab w:val="left" w:pos="10178"/>
        </w:tabs>
        <w:spacing w:before="0"/>
        <w:ind w:right="114"/>
        <w:rPr>
          <w:rFonts w:ascii="Arial" w:hAnsi="Arial" w:cs="Arial"/>
          <w:noProof/>
          <w:color w:val="363534"/>
          <w:lang w:eastAsia="zh-CN"/>
        </w:rPr>
      </w:pPr>
      <w:r w:rsidRPr="0E4A0EE4">
        <w:rPr>
          <w:rFonts w:ascii="Arial" w:hAnsi="Arial" w:cs="Arial"/>
          <w:noProof/>
          <w:color w:val="363534"/>
          <w:lang w:eastAsia="zh-CN"/>
        </w:rPr>
        <w:t xml:space="preserve">The role is focussed on managing risk to biodiversity, government and the community as well as having input to a wide range of initiatives related to biodiversity, climate change and Traditional Owner engagement, overseeing inputs to regulatory processes and decision making, and guiding implementation and development of reforms to policies, processes and systems. The role provides strategic place-based expertise and supports the effective and efficient delivery of statutory environmental and biodiversity related assessment and advice to internal and external stakeholders, in the context of complex and competing priorities. The role involves the ability to identify and assess risks, drive a culture of high performance and engagement and working with a wide range of colleagues across RECAFP and Bushfire and Forest Services (BFS), leads and initiates opportunities to influence and improve processes to deliver priority work. </w:t>
      </w:r>
    </w:p>
    <w:p w14:paraId="360FE7E0" w14:textId="08CB1F2C" w:rsidR="00495B3B" w:rsidRPr="00572337" w:rsidRDefault="00572337" w:rsidP="00572337">
      <w:pPr>
        <w:tabs>
          <w:tab w:val="left" w:pos="10178"/>
        </w:tabs>
        <w:spacing w:before="0"/>
        <w:ind w:right="114"/>
        <w:rPr>
          <w:rFonts w:ascii="Arial" w:hAnsi="Arial" w:cs="Arial"/>
          <w:noProof/>
          <w:color w:val="363534"/>
          <w:lang w:eastAsia="zh-CN"/>
        </w:rPr>
      </w:pPr>
      <w:r w:rsidRPr="0E4A0EE4">
        <w:rPr>
          <w:rFonts w:ascii="Arial" w:hAnsi="Arial" w:cs="Arial"/>
          <w:noProof/>
          <w:color w:val="363534"/>
          <w:lang w:eastAsia="zh-CN"/>
        </w:rPr>
        <w:t>The Regional Manager is critical member of the Regional leadership team, contributing to the successful delivery of group and departmental priorities.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751CFDDB" w14:textId="77777777" w:rsidR="00572337" w:rsidRPr="00F00D50" w:rsidRDefault="00572337" w:rsidP="00572337">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7443BAD5" w14:textId="77777777" w:rsidR="00572337" w:rsidRDefault="00572337" w:rsidP="00572337">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65637C61" w14:textId="77777777" w:rsidR="00572337" w:rsidRDefault="00572337" w:rsidP="00572337">
      <w:r>
        <w:t xml:space="preserve">Through its network of regions,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   </w:t>
      </w:r>
    </w:p>
    <w:p w14:paraId="34A790F2" w14:textId="77777777" w:rsidR="00572337" w:rsidRDefault="00572337" w:rsidP="00572337">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1B70697C" w14:textId="77777777" w:rsidR="00572337" w:rsidRDefault="00572337" w:rsidP="00572337">
      <w:pPr>
        <w:spacing w:before="160"/>
        <w:rPr>
          <w:b/>
          <w:bCs/>
        </w:rPr>
      </w:pPr>
      <w:r w:rsidRPr="00F00D50">
        <w:rPr>
          <w:b/>
          <w:bCs/>
        </w:rPr>
        <w:t>The Division</w:t>
      </w:r>
      <w:r>
        <w:rPr>
          <w:b/>
          <w:bCs/>
        </w:rPr>
        <w:t xml:space="preserve"> </w:t>
      </w:r>
    </w:p>
    <w:p w14:paraId="428B7E28" w14:textId="77777777" w:rsidR="00572337" w:rsidRDefault="00572337" w:rsidP="00572337">
      <w:pPr>
        <w:spacing w:before="160"/>
        <w:rPr>
          <w:rFonts w:ascii="Arial" w:eastAsia="Arial" w:hAnsi="Arial" w:cs="Arial"/>
          <w:color w:val="000000"/>
        </w:rPr>
      </w:pPr>
      <w:r w:rsidRPr="6DC85CF0">
        <w:rPr>
          <w:rFonts w:ascii="Arial" w:eastAsia="Arial" w:hAnsi="Arial" w:cs="Arial"/>
          <w:color w:val="000000"/>
        </w:rPr>
        <w:t xml:space="preserve">DEECA Regions Division enables government priorities by delivering integrated, place-based programs, projects and regional services to stakeholders and community on behalf of DEECA.  </w:t>
      </w:r>
    </w:p>
    <w:p w14:paraId="7C73A2A3" w14:textId="77777777" w:rsidR="00572337" w:rsidRDefault="00572337" w:rsidP="00572337">
      <w:pPr>
        <w:spacing w:before="160"/>
        <w:rPr>
          <w:rFonts w:ascii="Arial" w:eastAsia="Arial" w:hAnsi="Arial" w:cs="Arial"/>
          <w:color w:val="000000"/>
        </w:rPr>
      </w:pPr>
      <w:r w:rsidRPr="6DC85CF0">
        <w:rPr>
          <w:rFonts w:ascii="Arial" w:eastAsia="Arial" w:hAnsi="Arial" w:cs="Arial"/>
          <w:color w:val="000000"/>
        </w:rPr>
        <w:t xml:space="preserve">The Division delivers across six regions - Port Phillip, Barwon Southwest, Grampians, Loddon Mallee, Hume and Gippsland, each led by a Regional Director. The Executive Director, DEECA Regions provides strategic and operational oversight to the six regions, supporting a one-DEECA, coordinated approach to planning and delivery.  </w:t>
      </w:r>
    </w:p>
    <w:p w14:paraId="7B334CCF" w14:textId="77777777" w:rsidR="00572337" w:rsidRDefault="00572337" w:rsidP="00572337">
      <w:pPr>
        <w:spacing w:before="160"/>
        <w:rPr>
          <w:rFonts w:ascii="Arial" w:eastAsia="Arial" w:hAnsi="Arial" w:cs="Arial"/>
          <w:color w:val="000000"/>
        </w:rPr>
      </w:pPr>
      <w:r w:rsidRPr="6DC85CF0">
        <w:rPr>
          <w:rFonts w:ascii="Arial" w:eastAsia="Arial" w:hAnsi="Arial" w:cs="Arial"/>
          <w:color w:val="000000"/>
        </w:rPr>
        <w:t>The Division includes two core teams in each region overseeing public land services and strategic stakeholder partnerships at place and seven statewide portfolios:</w:t>
      </w:r>
    </w:p>
    <w:p w14:paraId="7A169C4E" w14:textId="77777777" w:rsidR="00572337" w:rsidRDefault="00572337" w:rsidP="00572337">
      <w:pPr>
        <w:pStyle w:val="ListParagraph"/>
        <w:numPr>
          <w:ilvl w:val="0"/>
          <w:numId w:val="46"/>
        </w:numPr>
        <w:spacing w:before="160"/>
        <w:rPr>
          <w:rFonts w:ascii="Arial" w:eastAsia="Arial" w:hAnsi="Arial" w:cs="Arial"/>
          <w:color w:val="000000"/>
        </w:rPr>
      </w:pPr>
      <w:r w:rsidRPr="6DC85CF0">
        <w:rPr>
          <w:rFonts w:ascii="Arial" w:eastAsia="Arial" w:hAnsi="Arial" w:cs="Arial"/>
          <w:color w:val="000000"/>
        </w:rPr>
        <w:t xml:space="preserve">Wildlife and Landscape Protection (led by Gippsland Region) </w:t>
      </w:r>
    </w:p>
    <w:p w14:paraId="507746F5" w14:textId="77777777" w:rsidR="00572337" w:rsidRDefault="00572337" w:rsidP="00572337">
      <w:pPr>
        <w:pStyle w:val="ListParagraph"/>
        <w:numPr>
          <w:ilvl w:val="0"/>
          <w:numId w:val="46"/>
        </w:numPr>
        <w:spacing w:before="160"/>
        <w:rPr>
          <w:rFonts w:ascii="Arial" w:eastAsia="Arial" w:hAnsi="Arial" w:cs="Arial"/>
          <w:color w:val="000000"/>
        </w:rPr>
      </w:pPr>
      <w:r w:rsidRPr="6DC85CF0">
        <w:rPr>
          <w:rFonts w:ascii="Arial" w:eastAsia="Arial" w:hAnsi="Arial" w:cs="Arial"/>
          <w:color w:val="000000"/>
        </w:rPr>
        <w:t>Biodiversity Impact Assessment (led by Loddon Mallee Region)</w:t>
      </w:r>
    </w:p>
    <w:p w14:paraId="0AEA1121" w14:textId="77777777" w:rsidR="00572337" w:rsidRDefault="00572337" w:rsidP="00572337">
      <w:pPr>
        <w:pStyle w:val="ListParagraph"/>
        <w:numPr>
          <w:ilvl w:val="0"/>
          <w:numId w:val="46"/>
        </w:numPr>
        <w:spacing w:before="160"/>
        <w:rPr>
          <w:rFonts w:ascii="Arial" w:eastAsia="Arial" w:hAnsi="Arial" w:cs="Arial"/>
          <w:color w:val="000000"/>
        </w:rPr>
      </w:pPr>
      <w:r w:rsidRPr="6DC85CF0">
        <w:rPr>
          <w:rFonts w:ascii="Arial" w:eastAsia="Arial" w:hAnsi="Arial" w:cs="Arial"/>
          <w:color w:val="000000"/>
        </w:rPr>
        <w:t xml:space="preserve">Land Management (led by Hume Region) </w:t>
      </w:r>
    </w:p>
    <w:p w14:paraId="509FD696" w14:textId="77777777" w:rsidR="00572337" w:rsidRDefault="00572337" w:rsidP="00572337">
      <w:pPr>
        <w:pStyle w:val="ListParagraph"/>
        <w:numPr>
          <w:ilvl w:val="0"/>
          <w:numId w:val="46"/>
        </w:numPr>
        <w:spacing w:before="160"/>
        <w:rPr>
          <w:rFonts w:ascii="Arial" w:eastAsia="Arial" w:hAnsi="Arial" w:cs="Arial"/>
          <w:color w:val="000000"/>
        </w:rPr>
      </w:pPr>
      <w:r w:rsidRPr="6DC85CF0">
        <w:rPr>
          <w:rFonts w:ascii="Arial" w:eastAsia="Arial" w:hAnsi="Arial" w:cs="Arial"/>
          <w:color w:val="000000"/>
        </w:rPr>
        <w:t xml:space="preserve">Planning and Environmental Assessment (led by Port Phillip Region) </w:t>
      </w:r>
    </w:p>
    <w:p w14:paraId="1EF809CB" w14:textId="77777777" w:rsidR="00572337" w:rsidRDefault="00572337" w:rsidP="00572337">
      <w:pPr>
        <w:pStyle w:val="ListParagraph"/>
        <w:numPr>
          <w:ilvl w:val="0"/>
          <w:numId w:val="46"/>
        </w:numPr>
        <w:spacing w:before="160"/>
        <w:rPr>
          <w:rFonts w:ascii="Arial" w:eastAsia="Arial" w:hAnsi="Arial" w:cs="Arial"/>
          <w:color w:val="000000"/>
        </w:rPr>
      </w:pPr>
      <w:r w:rsidRPr="6DC85CF0">
        <w:rPr>
          <w:rFonts w:ascii="Arial" w:eastAsia="Arial" w:hAnsi="Arial" w:cs="Arial"/>
          <w:color w:val="000000"/>
        </w:rPr>
        <w:t xml:space="preserve">Environmental Investments and Programs (led by Grampians Region) </w:t>
      </w:r>
    </w:p>
    <w:p w14:paraId="2C9C674C" w14:textId="77777777" w:rsidR="00572337" w:rsidRDefault="00572337" w:rsidP="00572337">
      <w:pPr>
        <w:pStyle w:val="ListParagraph"/>
        <w:numPr>
          <w:ilvl w:val="0"/>
          <w:numId w:val="46"/>
        </w:numPr>
        <w:spacing w:before="160"/>
        <w:rPr>
          <w:rFonts w:ascii="Arial" w:eastAsia="Arial" w:hAnsi="Arial" w:cs="Arial"/>
          <w:color w:val="000000"/>
        </w:rPr>
      </w:pPr>
      <w:r w:rsidRPr="6DC85CF0">
        <w:rPr>
          <w:rFonts w:ascii="Arial" w:eastAsia="Arial" w:hAnsi="Arial" w:cs="Arial"/>
          <w:color w:val="000000"/>
        </w:rPr>
        <w:t xml:space="preserve">DEECA Recovery Coordination and Coastal Operations (led by Barwon </w:t>
      </w:r>
      <w:proofErr w:type="gramStart"/>
      <w:r w:rsidRPr="6DC85CF0">
        <w:rPr>
          <w:rFonts w:ascii="Arial" w:eastAsia="Arial" w:hAnsi="Arial" w:cs="Arial"/>
          <w:color w:val="000000"/>
        </w:rPr>
        <w:t>South West</w:t>
      </w:r>
      <w:proofErr w:type="gramEnd"/>
      <w:r w:rsidRPr="6DC85CF0">
        <w:rPr>
          <w:rFonts w:ascii="Arial" w:eastAsia="Arial" w:hAnsi="Arial" w:cs="Arial"/>
          <w:color w:val="000000"/>
        </w:rPr>
        <w:t xml:space="preserve"> Region) </w:t>
      </w:r>
    </w:p>
    <w:p w14:paraId="07338B15" w14:textId="77777777" w:rsidR="00572337" w:rsidRDefault="00572337" w:rsidP="00572337">
      <w:pPr>
        <w:pStyle w:val="ListParagraph"/>
        <w:numPr>
          <w:ilvl w:val="0"/>
          <w:numId w:val="46"/>
        </w:numPr>
        <w:shd w:val="clear" w:color="auto" w:fill="FFFFFF" w:themeFill="background1"/>
        <w:spacing w:before="220" w:after="220"/>
        <w:rPr>
          <w:rFonts w:ascii="Arial" w:eastAsia="Arial" w:hAnsi="Arial" w:cs="Arial"/>
          <w:color w:val="000000"/>
        </w:rPr>
      </w:pPr>
      <w:r w:rsidRPr="6DC85CF0">
        <w:rPr>
          <w:rFonts w:ascii="Arial" w:eastAsia="Arial" w:hAnsi="Arial" w:cs="Arial"/>
          <w:color w:val="000000"/>
          <w:lang w:val="en-US"/>
        </w:rPr>
        <w:t>Strategy and Service Delivery</w:t>
      </w:r>
      <w:r w:rsidRPr="6DC85CF0">
        <w:rPr>
          <w:rFonts w:ascii="Arial" w:eastAsia="Arial" w:hAnsi="Arial" w:cs="Arial"/>
          <w:color w:val="000000"/>
        </w:rPr>
        <w:t xml:space="preserve"> (led by the Office of the Executive Director DEECA Regions)</w:t>
      </w:r>
    </w:p>
    <w:p w14:paraId="5F6B4825" w14:textId="77777777" w:rsidR="00572337" w:rsidRDefault="00572337" w:rsidP="00572337">
      <w:pPr>
        <w:rPr>
          <w:rFonts w:ascii="Arial" w:hAnsi="Arial" w:cs="Arial"/>
          <w:b/>
          <w:bCs/>
        </w:rPr>
      </w:pPr>
      <w:r w:rsidRPr="6DC85CF0">
        <w:rPr>
          <w:rFonts w:ascii="Arial" w:hAnsi="Arial" w:cs="Arial"/>
          <w:b/>
          <w:bCs/>
        </w:rPr>
        <w:t>The Branch</w:t>
      </w:r>
    </w:p>
    <w:p w14:paraId="31BB9107" w14:textId="77777777" w:rsidR="00572337" w:rsidRDefault="00572337" w:rsidP="00572337">
      <w:p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Biodiversity Impact Assessment statewide portfolio </w:t>
      </w:r>
      <w:r w:rsidRPr="6DC85CF0">
        <w:rPr>
          <w:rFonts w:ascii="Arial" w:eastAsia="Arial" w:hAnsi="Arial" w:cs="Arial"/>
          <w:color w:val="000000"/>
        </w:rPr>
        <w:t>leads the delivery of technical biodiversity assessment and environmental or land use advice and reforms to policy, practice and guidance to support management of biodiversity impacts while delivering significant government priorities. This includes end-to-end integration of native vegetation regulation and advice, guidance, information and decision support tools for planning and impact assessment processes, and place-based technical expertise aligned to government priorities in housing, transport, major projects, energy, land and risk management. Teams in this branch collaborate across DEECA groups and other government portfolios to facilitate development while managing biodiversity impacts.</w:t>
      </w:r>
    </w:p>
    <w:p w14:paraId="03B78E5E" w14:textId="77777777" w:rsidR="00572337" w:rsidRDefault="00572337" w:rsidP="00572337">
      <w:pPr>
        <w:rPr>
          <w:rFonts w:ascii="Arial" w:eastAsia="Arial" w:hAnsi="Arial" w:cs="Arial"/>
          <w:color w:val="000000"/>
        </w:rPr>
      </w:pPr>
      <w:r w:rsidRPr="6DC85CF0">
        <w:rPr>
          <w:rFonts w:ascii="Arial" w:eastAsia="Arial" w:hAnsi="Arial" w:cs="Arial"/>
          <w:b/>
          <w:bCs/>
          <w:color w:val="000000"/>
        </w:rPr>
        <w:t>Teams</w:t>
      </w:r>
    </w:p>
    <w:p w14:paraId="33DD50F0" w14:textId="77777777" w:rsidR="00572337" w:rsidRDefault="00572337" w:rsidP="00572337">
      <w:pPr>
        <w:pStyle w:val="ListParagraph"/>
        <w:numPr>
          <w:ilvl w:val="0"/>
          <w:numId w:val="45"/>
        </w:num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Biodiversity Assessment Services </w:t>
      </w:r>
      <w:r w:rsidRPr="6DC85CF0">
        <w:rPr>
          <w:rFonts w:ascii="Arial" w:eastAsia="Arial" w:hAnsi="Arial" w:cs="Arial"/>
          <w:color w:val="000000"/>
        </w:rPr>
        <w:t xml:space="preserve">team leads the provision of biodiversity assessment and environmental advice through place-based teams across three hubs: </w:t>
      </w:r>
    </w:p>
    <w:p w14:paraId="4C76E825" w14:textId="77777777" w:rsidR="00572337" w:rsidRDefault="00572337" w:rsidP="00572337">
      <w:pPr>
        <w:pStyle w:val="ListParagraph"/>
        <w:numPr>
          <w:ilvl w:val="1"/>
          <w:numId w:val="45"/>
        </w:numPr>
        <w:rPr>
          <w:rFonts w:ascii="Arial" w:eastAsia="Arial" w:hAnsi="Arial" w:cs="Arial"/>
          <w:color w:val="000000"/>
        </w:rPr>
      </w:pPr>
      <w:r w:rsidRPr="6DC85CF0">
        <w:rPr>
          <w:rFonts w:ascii="Arial" w:eastAsia="Arial" w:hAnsi="Arial" w:cs="Arial"/>
          <w:color w:val="000000"/>
        </w:rPr>
        <w:t>West Hub</w:t>
      </w:r>
    </w:p>
    <w:p w14:paraId="08B4AEEF" w14:textId="77777777" w:rsidR="00572337" w:rsidRDefault="00572337" w:rsidP="00572337">
      <w:pPr>
        <w:pStyle w:val="ListParagraph"/>
        <w:numPr>
          <w:ilvl w:val="1"/>
          <w:numId w:val="45"/>
        </w:numPr>
        <w:rPr>
          <w:rFonts w:ascii="Arial" w:eastAsia="Arial" w:hAnsi="Arial" w:cs="Arial"/>
          <w:color w:val="000000"/>
        </w:rPr>
      </w:pPr>
      <w:r w:rsidRPr="6DC85CF0">
        <w:rPr>
          <w:rFonts w:ascii="Arial" w:eastAsia="Arial" w:hAnsi="Arial" w:cs="Arial"/>
          <w:color w:val="000000"/>
        </w:rPr>
        <w:t>North Central</w:t>
      </w:r>
    </w:p>
    <w:p w14:paraId="16A7B1FC" w14:textId="77777777" w:rsidR="00572337" w:rsidRDefault="00572337" w:rsidP="00572337">
      <w:pPr>
        <w:pStyle w:val="ListParagraph"/>
        <w:numPr>
          <w:ilvl w:val="1"/>
          <w:numId w:val="45"/>
        </w:numPr>
        <w:rPr>
          <w:rFonts w:ascii="Arial" w:eastAsia="Arial" w:hAnsi="Arial" w:cs="Arial"/>
          <w:color w:val="000000"/>
        </w:rPr>
      </w:pPr>
      <w:r w:rsidRPr="6DC85CF0">
        <w:rPr>
          <w:rFonts w:ascii="Arial" w:eastAsia="Arial" w:hAnsi="Arial" w:cs="Arial"/>
          <w:color w:val="000000"/>
        </w:rPr>
        <w:t>East Hub</w:t>
      </w:r>
    </w:p>
    <w:p w14:paraId="3A63DC00" w14:textId="77777777" w:rsidR="00572337" w:rsidRDefault="00572337" w:rsidP="00572337">
      <w:pPr>
        <w:pStyle w:val="ListParagraph"/>
        <w:numPr>
          <w:ilvl w:val="0"/>
          <w:numId w:val="45"/>
        </w:num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 xml:space="preserve">Regional Environmental Planning </w:t>
      </w:r>
      <w:r w:rsidRPr="6DC85CF0">
        <w:rPr>
          <w:rFonts w:ascii="Arial" w:eastAsia="Arial" w:hAnsi="Arial" w:cs="Arial"/>
          <w:color w:val="000000"/>
        </w:rPr>
        <w:t>team works across government and industry and key stakeholders to develop policy, guidance and information tools that are informed by regional assessment functions, proponents and planning decision makers, and which support more efficient and effective assessment and approval processes for critical projects needed for the energy transition.</w:t>
      </w:r>
    </w:p>
    <w:p w14:paraId="23FBC278" w14:textId="77777777" w:rsidR="00572337" w:rsidRDefault="00572337" w:rsidP="00572337">
      <w:pPr>
        <w:pStyle w:val="ListParagraph"/>
        <w:numPr>
          <w:ilvl w:val="0"/>
          <w:numId w:val="45"/>
        </w:num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Biodiversity Compensation and Offset Systems </w:t>
      </w:r>
      <w:r w:rsidRPr="6DC85CF0">
        <w:rPr>
          <w:rFonts w:ascii="Arial" w:eastAsia="Arial" w:hAnsi="Arial" w:cs="Arial"/>
          <w:color w:val="000000"/>
        </w:rPr>
        <w:t>team manages and implements the State’s native vegetation removal regulations and native vegetation offsets framework and provides direction for policy review and development.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Accountabilities</w:t>
      </w:r>
    </w:p>
    <w:p w14:paraId="66F25A96" w14:textId="77777777" w:rsidR="00572337" w:rsidRPr="003C40C9" w:rsidRDefault="00572337" w:rsidP="00572337">
      <w:pPr>
        <w:numPr>
          <w:ilvl w:val="0"/>
          <w:numId w:val="43"/>
        </w:numPr>
        <w:spacing w:before="0" w:after="0" w:line="240" w:lineRule="auto"/>
        <w:rPr>
          <w:rFonts w:ascii="Arial" w:hAnsi="Arial" w:cs="Arial"/>
          <w:color w:val="000000"/>
          <w:lang w:eastAsia="zh-CN"/>
        </w:rPr>
      </w:pPr>
      <w:r w:rsidRPr="491D29C9">
        <w:rPr>
          <w:rFonts w:ascii="Arial" w:hAnsi="Arial" w:cs="Arial"/>
          <w:color w:val="000000"/>
          <w:lang w:eastAsia="zh-CN"/>
        </w:rPr>
        <w:t>Lead and manage the team to deliver high quality, consistent, accurate, and timely biodiversity and environmental assessment advice and services that demonstrates responsiveness to government and departmental priorities and policy directions, meets quality and timeliness standards, enables clear and consistent decision making, and meets stakeholder expectations.</w:t>
      </w:r>
    </w:p>
    <w:p w14:paraId="7A8A2439" w14:textId="77777777" w:rsidR="00572337" w:rsidRPr="003C40C9" w:rsidRDefault="00572337" w:rsidP="00572337">
      <w:pPr>
        <w:numPr>
          <w:ilvl w:val="0"/>
          <w:numId w:val="43"/>
        </w:numPr>
        <w:spacing w:before="0" w:after="0" w:line="240" w:lineRule="auto"/>
        <w:rPr>
          <w:rFonts w:ascii="Arial" w:hAnsi="Arial" w:cs="Arial"/>
          <w:color w:val="000000"/>
          <w:lang w:val="en-US" w:eastAsia="zh-CN"/>
        </w:rPr>
      </w:pPr>
      <w:r w:rsidRPr="674F5571">
        <w:rPr>
          <w:rFonts w:ascii="Arial" w:hAnsi="Arial" w:cs="Arial"/>
          <w:color w:val="000000"/>
          <w:lang w:eastAsia="zh-CN"/>
        </w:rPr>
        <w:t xml:space="preserve">Set clear direction for the team and monitor and manage performance, building capability uplift in biodiversity policy and regulation, scientific literacy and land use planning, and driving high performance, to work effectively within resourcing levels and in a way that reflects clear and consistent prioritisation approaches. </w:t>
      </w:r>
      <w:r w:rsidRPr="674F5571">
        <w:rPr>
          <w:rFonts w:ascii="Arial" w:hAnsi="Arial" w:cs="Arial"/>
          <w:color w:val="000000"/>
          <w:lang w:val="en-US" w:eastAsia="zh-CN"/>
        </w:rPr>
        <w:t>​</w:t>
      </w:r>
    </w:p>
    <w:p w14:paraId="209CA8F4" w14:textId="77777777" w:rsidR="00572337" w:rsidRDefault="00572337" w:rsidP="00572337">
      <w:pPr>
        <w:numPr>
          <w:ilvl w:val="0"/>
          <w:numId w:val="43"/>
        </w:numPr>
        <w:spacing w:before="0" w:after="0" w:line="240" w:lineRule="auto"/>
        <w:rPr>
          <w:rFonts w:ascii="Arial" w:hAnsi="Arial" w:cs="Arial"/>
          <w:color w:val="000000"/>
          <w:lang w:val="en-US" w:eastAsia="zh-CN"/>
        </w:rPr>
      </w:pPr>
      <w:r w:rsidRPr="5E644A31">
        <w:rPr>
          <w:rFonts w:ascii="Arial" w:hAnsi="Arial" w:cs="Arial"/>
          <w:color w:val="000000"/>
          <w:lang w:val="en-US" w:eastAsia="zh-CN"/>
        </w:rPr>
        <w:t>Strategically plan and manage resourcing and efforts to effectively manage risks to business continuity, anticipating risks and impacts, looking ahead to identify and manage risks to strategic delivery priorities including priority projects and regulatory services, and implementing mitigations and escalating residual risks. Effectively brief relevant executives and stakeholders on proactive risk mitigation approaches and plans to meet agreed performance standards.</w:t>
      </w:r>
    </w:p>
    <w:p w14:paraId="350A5110" w14:textId="77777777" w:rsidR="00572337" w:rsidRPr="003C40C9" w:rsidRDefault="00572337" w:rsidP="00572337">
      <w:pPr>
        <w:numPr>
          <w:ilvl w:val="0"/>
          <w:numId w:val="43"/>
        </w:numPr>
        <w:spacing w:before="0" w:after="0" w:line="240" w:lineRule="auto"/>
        <w:rPr>
          <w:rFonts w:ascii="Arial" w:hAnsi="Arial" w:cs="Arial"/>
          <w:color w:val="000000"/>
          <w:szCs w:val="22"/>
          <w:lang w:val="en-US" w:eastAsia="zh-CN"/>
        </w:rPr>
      </w:pPr>
      <w:r w:rsidRPr="003C40C9">
        <w:rPr>
          <w:rFonts w:ascii="Arial" w:hAnsi="Arial" w:cs="Arial"/>
          <w:color w:val="000000"/>
          <w:szCs w:val="22"/>
          <w:lang w:eastAsia="zh-CN"/>
        </w:rPr>
        <w:t xml:space="preserve">Lead and manage the budget and allocated resources, including external funding where applicable to ensure efficient and effective delivery of services and projects. </w:t>
      </w:r>
      <w:r w:rsidRPr="003C40C9">
        <w:rPr>
          <w:rFonts w:ascii="Arial" w:hAnsi="Arial" w:cs="Arial"/>
          <w:color w:val="000000"/>
          <w:szCs w:val="22"/>
          <w:lang w:val="en-US" w:eastAsia="zh-CN"/>
        </w:rPr>
        <w:t>​</w:t>
      </w:r>
    </w:p>
    <w:p w14:paraId="67D4A408" w14:textId="77777777" w:rsidR="00572337" w:rsidRPr="003C40C9" w:rsidRDefault="00572337" w:rsidP="00572337">
      <w:pPr>
        <w:numPr>
          <w:ilvl w:val="0"/>
          <w:numId w:val="43"/>
        </w:numPr>
        <w:spacing w:before="0" w:after="0" w:line="240" w:lineRule="auto"/>
        <w:rPr>
          <w:rFonts w:ascii="Arial" w:hAnsi="Arial" w:cs="Arial"/>
          <w:color w:val="000000"/>
          <w:lang w:val="en-US" w:eastAsia="zh-CN"/>
        </w:rPr>
      </w:pPr>
      <w:r w:rsidRPr="7B04F684">
        <w:rPr>
          <w:rFonts w:ascii="Arial" w:hAnsi="Arial" w:cs="Arial"/>
          <w:color w:val="000000"/>
          <w:lang w:eastAsia="zh-CN"/>
        </w:rPr>
        <w:t xml:space="preserve">Provide authoritative, high quality, and sound technical advice on the application of biodiversity regulation and policy to inform complex decisions making, including engagement with internal colleagues providing coordinated land use planning advice, and responsible authorities including councils to support them in meeting their biodiversity related responsibilities. </w:t>
      </w:r>
      <w:r w:rsidRPr="7B04F684">
        <w:rPr>
          <w:rFonts w:ascii="Arial" w:hAnsi="Arial" w:cs="Arial"/>
          <w:color w:val="000000"/>
          <w:lang w:val="en-US" w:eastAsia="zh-CN"/>
        </w:rPr>
        <w:t>​</w:t>
      </w:r>
    </w:p>
    <w:p w14:paraId="63A5C336" w14:textId="77777777" w:rsidR="00572337" w:rsidRPr="003C40C9" w:rsidRDefault="00572337" w:rsidP="00572337">
      <w:pPr>
        <w:numPr>
          <w:ilvl w:val="0"/>
          <w:numId w:val="43"/>
        </w:numPr>
        <w:spacing w:before="0" w:after="0" w:line="240" w:lineRule="auto"/>
        <w:rPr>
          <w:rFonts w:ascii="Arial" w:hAnsi="Arial" w:cs="Arial"/>
          <w:color w:val="000000"/>
          <w:lang w:val="en-US" w:eastAsia="zh-CN"/>
        </w:rPr>
      </w:pPr>
      <w:r w:rsidRPr="548B3D39">
        <w:rPr>
          <w:rFonts w:ascii="Arial" w:hAnsi="Arial" w:cs="Arial"/>
          <w:color w:val="000000"/>
          <w:lang w:eastAsia="zh-CN"/>
        </w:rPr>
        <w:t xml:space="preserve">Ensure departmental and group business management requirements are met in accordance with legislative, policy and procedural requirements. </w:t>
      </w:r>
      <w:r w:rsidRPr="548B3D39">
        <w:rPr>
          <w:rFonts w:ascii="Arial" w:hAnsi="Arial" w:cs="Arial"/>
          <w:color w:val="000000"/>
          <w:lang w:val="en-US" w:eastAsia="zh-CN"/>
        </w:rPr>
        <w:t>​</w:t>
      </w:r>
    </w:p>
    <w:p w14:paraId="693ED591" w14:textId="77777777" w:rsidR="00572337" w:rsidRPr="003C40C9" w:rsidRDefault="00572337" w:rsidP="00572337">
      <w:pPr>
        <w:numPr>
          <w:ilvl w:val="0"/>
          <w:numId w:val="43"/>
        </w:numPr>
        <w:spacing w:before="0" w:after="0" w:line="240" w:lineRule="auto"/>
        <w:rPr>
          <w:rFonts w:ascii="Arial" w:hAnsi="Arial" w:cs="Arial"/>
          <w:color w:val="000000"/>
          <w:lang w:val="en-US" w:eastAsia="zh-CN"/>
        </w:rPr>
      </w:pPr>
      <w:r w:rsidRPr="4931E02C">
        <w:rPr>
          <w:rFonts w:ascii="Arial" w:hAnsi="Arial" w:cs="Arial"/>
          <w:color w:val="000000"/>
          <w:lang w:eastAsia="zh-CN"/>
        </w:rPr>
        <w:t xml:space="preserve">Identify and respond to emerging biodiversity and regulatory issues, risks and trends developing innovative solutions and influencing policy and procedural change and implementing these consistently across teams. </w:t>
      </w:r>
      <w:r w:rsidRPr="4931E02C">
        <w:rPr>
          <w:rFonts w:ascii="Arial" w:hAnsi="Arial" w:cs="Arial"/>
          <w:color w:val="000000"/>
          <w:lang w:val="en-US" w:eastAsia="zh-CN"/>
        </w:rPr>
        <w:t>​</w:t>
      </w:r>
    </w:p>
    <w:p w14:paraId="2A940B8C" w14:textId="77777777" w:rsidR="00572337" w:rsidRPr="003C40C9" w:rsidRDefault="00572337" w:rsidP="00572337">
      <w:pPr>
        <w:numPr>
          <w:ilvl w:val="0"/>
          <w:numId w:val="43"/>
        </w:numPr>
        <w:spacing w:before="0" w:after="0" w:line="240" w:lineRule="auto"/>
        <w:rPr>
          <w:rFonts w:ascii="Arial" w:hAnsi="Arial" w:cs="Arial"/>
          <w:color w:val="000000"/>
          <w:lang w:val="en-US" w:eastAsia="zh-CN"/>
        </w:rPr>
      </w:pPr>
      <w:r w:rsidRPr="3B7D36F1">
        <w:rPr>
          <w:rFonts w:ascii="Arial" w:hAnsi="Arial" w:cs="Arial"/>
          <w:color w:val="000000"/>
          <w:lang w:eastAsia="zh-CN"/>
        </w:rPr>
        <w:t xml:space="preserve">Lead the development and implementation of reforms and continuous improvement initiatives in biodiversity assessment practices, working across hubs and other branches and teams, to achieve performance and capability uplift, establish high quality and positive stakeholder and partner relationships, deliver consistent, high quality, balanced and sound advice, and improve efficiency of advice and other services. </w:t>
      </w:r>
      <w:r w:rsidRPr="3B7D36F1">
        <w:rPr>
          <w:rFonts w:ascii="Arial" w:hAnsi="Arial" w:cs="Arial"/>
          <w:color w:val="000000"/>
          <w:lang w:val="en-US" w:eastAsia="zh-CN"/>
        </w:rPr>
        <w:t>​</w:t>
      </w:r>
    </w:p>
    <w:p w14:paraId="0C8BB49B" w14:textId="77777777" w:rsidR="00572337" w:rsidRPr="004303C1" w:rsidRDefault="00572337" w:rsidP="00572337">
      <w:pPr>
        <w:numPr>
          <w:ilvl w:val="0"/>
          <w:numId w:val="43"/>
        </w:numPr>
        <w:spacing w:before="0" w:after="0" w:line="240" w:lineRule="auto"/>
        <w:rPr>
          <w:rFonts w:ascii="Arial" w:hAnsi="Arial" w:cs="Arial"/>
          <w:color w:val="000000"/>
          <w:lang w:eastAsia="zh-CN"/>
        </w:rPr>
      </w:pPr>
      <w:r w:rsidRPr="003C40C9">
        <w:rPr>
          <w:rFonts w:ascii="Arial" w:hAnsi="Arial" w:cs="Arial"/>
          <w:color w:val="000000"/>
          <w:szCs w:val="22"/>
          <w:lang w:eastAsia="zh-CN"/>
        </w:rPr>
        <w:t xml:space="preserve">As an active member of the regional leadership team, contribute to the delivery of group and departmental priorities, and to building an inclusive and high performing workforce that is customer focussed, </w:t>
      </w:r>
      <w:r w:rsidRPr="004303C1">
        <w:rPr>
          <w:rFonts w:ascii="Arial" w:hAnsi="Arial" w:cs="Arial"/>
          <w:color w:val="000000"/>
          <w:lang w:eastAsia="zh-CN"/>
        </w:rPr>
        <w:t>collaborative, professional and engaged. ​</w:t>
      </w:r>
    </w:p>
    <w:p w14:paraId="669C615E" w14:textId="77777777" w:rsidR="00572337" w:rsidRPr="004303C1" w:rsidRDefault="00572337" w:rsidP="00572337">
      <w:pPr>
        <w:numPr>
          <w:ilvl w:val="0"/>
          <w:numId w:val="43"/>
        </w:numPr>
        <w:spacing w:before="0" w:after="0" w:line="240" w:lineRule="auto"/>
        <w:rPr>
          <w:rFonts w:ascii="Arial" w:hAnsi="Arial" w:cs="Arial"/>
          <w:color w:val="000000"/>
          <w:lang w:eastAsia="zh-CN"/>
        </w:rPr>
      </w:pPr>
      <w:r w:rsidRPr="004303C1">
        <w:rPr>
          <w:rFonts w:ascii="Arial" w:hAnsi="Arial" w:cs="Arial"/>
          <w:color w:val="000000"/>
          <w:lang w:eastAsia="zh-CN"/>
        </w:rPr>
        <w:t>Provide strategic advice to the Director, Biodiversity Impact Assessment, RECAFP and BFS senior management on a range of matters. ​</w:t>
      </w:r>
    </w:p>
    <w:p w14:paraId="185042CB" w14:textId="77777777" w:rsidR="00572337" w:rsidRPr="004303C1" w:rsidRDefault="00572337" w:rsidP="00572337">
      <w:pPr>
        <w:numPr>
          <w:ilvl w:val="0"/>
          <w:numId w:val="43"/>
        </w:numPr>
        <w:spacing w:before="0" w:after="0" w:line="240" w:lineRule="auto"/>
      </w:pPr>
      <w:r w:rsidRPr="004303C1">
        <w:rPr>
          <w:rFonts w:ascii="Arial" w:hAnsi="Arial" w:cs="Arial"/>
          <w:color w:val="000000"/>
          <w:lang w:eastAsia="zh-CN"/>
        </w:rPr>
        <w:t>Lead and foster a safe, respectful and productive workplace by consistently demonstrating the VPS Values and DEECA Leadership Model, guiding team members to manage competing priorities within available resources, and driving</w:t>
      </w:r>
      <w:r w:rsidRPr="0093549C">
        <w:t xml:space="preserve"> collaboration across teams and locations to enable integrated delivery of group priorities and create an environment for high performance and wellbeing.</w:t>
      </w:r>
    </w:p>
    <w:p w14:paraId="4F274881" w14:textId="5A1F31F2" w:rsidR="00495B3B" w:rsidRPr="00495B3B" w:rsidRDefault="00572337" w:rsidP="00572337">
      <w:pPr>
        <w:numPr>
          <w:ilvl w:val="0"/>
          <w:numId w:val="43"/>
        </w:numPr>
        <w:spacing w:before="0" w:after="0" w:line="240" w:lineRule="auto"/>
        <w:rPr>
          <w:rFonts w:ascii="Arial" w:hAnsi="Arial" w:cs="Arial"/>
          <w:color w:val="363534"/>
          <w:szCs w:val="22"/>
        </w:rPr>
      </w:pPr>
      <w:r w:rsidRPr="003C40C9">
        <w:rPr>
          <w:rFonts w:ascii="Arial" w:hAnsi="Arial" w:cs="Arial"/>
          <w:color w:val="000000"/>
          <w:szCs w:val="22"/>
          <w:lang w:eastAsia="zh-CN"/>
        </w:rPr>
        <w:t>Practise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7CF0CB3A" w14:textId="77777777" w:rsidR="00572337" w:rsidRPr="003C40C9" w:rsidRDefault="00572337" w:rsidP="00572337">
      <w:pPr>
        <w:spacing w:before="160" w:after="0"/>
        <w:rPr>
          <w:rFonts w:ascii="Arial" w:hAnsi="Arial" w:cs="Arial"/>
          <w:color w:val="000000"/>
          <w:lang w:val="en-US" w:eastAsia="zh-CN"/>
        </w:rPr>
      </w:pPr>
      <w:bookmarkStart w:id="2" w:name="_Hlk102550785"/>
      <w:r w:rsidRPr="003C40C9">
        <w:rPr>
          <w:rFonts w:ascii="Arial" w:hAnsi="Arial" w:cs="Arial"/>
          <w:color w:val="000000"/>
          <w:lang w:eastAsia="zh-CN"/>
        </w:rPr>
        <w:t xml:space="preserve">Desirable: </w:t>
      </w:r>
      <w:r w:rsidRPr="003C40C9">
        <w:rPr>
          <w:rFonts w:ascii="Arial" w:hAnsi="Arial" w:cs="Arial"/>
          <w:color w:val="000000"/>
          <w:lang w:val="en-US" w:eastAsia="zh-CN"/>
        </w:rPr>
        <w:t>​</w:t>
      </w:r>
    </w:p>
    <w:p w14:paraId="3CB17598" w14:textId="183905D1" w:rsidR="00572337" w:rsidRPr="003C40C9" w:rsidRDefault="00572337" w:rsidP="00572337">
      <w:pPr>
        <w:numPr>
          <w:ilvl w:val="0"/>
          <w:numId w:val="48"/>
        </w:numPr>
        <w:spacing w:before="0" w:after="0"/>
        <w:rPr>
          <w:rFonts w:ascii="Arial" w:hAnsi="Arial" w:cs="Arial"/>
          <w:color w:val="000000"/>
          <w:lang w:val="en-US" w:eastAsia="zh-CN"/>
        </w:rPr>
      </w:pPr>
      <w:r w:rsidRPr="003C40C9">
        <w:rPr>
          <w:rFonts w:ascii="Arial" w:hAnsi="Arial" w:cs="Arial"/>
          <w:color w:val="000000"/>
          <w:lang w:eastAsia="zh-CN"/>
        </w:rPr>
        <w:t>Demonstrated understanding of Victorian and Commonwealth regulatory, legislative and policy frameworks that relate to biodiversity and the environment, and their operation</w:t>
      </w:r>
      <w:r>
        <w:rPr>
          <w:rFonts w:ascii="Arial" w:hAnsi="Arial" w:cs="Arial"/>
          <w:color w:val="000000"/>
          <w:lang w:eastAsia="zh-CN"/>
        </w:rPr>
        <w:t>.</w:t>
      </w:r>
      <w:r w:rsidRPr="003C40C9">
        <w:rPr>
          <w:rFonts w:ascii="Arial" w:hAnsi="Arial" w:cs="Arial"/>
          <w:color w:val="000000"/>
          <w:lang w:val="en-US" w:eastAsia="zh-CN"/>
        </w:rPr>
        <w:t>​</w:t>
      </w:r>
    </w:p>
    <w:p w14:paraId="7EF91611" w14:textId="77777777" w:rsidR="00572337" w:rsidRPr="003C40C9" w:rsidRDefault="00572337" w:rsidP="00572337">
      <w:pPr>
        <w:pStyle w:val="ListParagraph"/>
        <w:numPr>
          <w:ilvl w:val="0"/>
          <w:numId w:val="48"/>
        </w:numPr>
        <w:spacing w:before="0" w:after="0"/>
        <w:rPr>
          <w:rFonts w:ascii="Arial" w:hAnsi="Arial" w:cs="Arial"/>
          <w:color w:val="000000"/>
          <w:lang w:val="en-US" w:eastAsia="zh-CN"/>
        </w:rPr>
      </w:pPr>
      <w:r w:rsidRPr="003C40C9">
        <w:rPr>
          <w:rFonts w:ascii="Arial" w:hAnsi="Arial" w:cs="Arial"/>
          <w:color w:val="000000"/>
          <w:lang w:eastAsia="zh-CN"/>
        </w:rPr>
        <w:t xml:space="preserve">​Qualifications and expertise in environmental science, natural resource management, </w:t>
      </w:r>
      <w:r w:rsidRPr="38250013">
        <w:rPr>
          <w:rFonts w:ascii="Arial" w:hAnsi="Arial" w:cs="Arial"/>
          <w:color w:val="000000"/>
          <w:lang w:eastAsia="zh-CN"/>
        </w:rPr>
        <w:t xml:space="preserve">planning, </w:t>
      </w:r>
      <w:r w:rsidRPr="003C40C9">
        <w:rPr>
          <w:rFonts w:ascii="Arial" w:hAnsi="Arial" w:cs="Arial"/>
          <w:color w:val="000000"/>
          <w:lang w:eastAsia="zh-CN"/>
        </w:rPr>
        <w:t xml:space="preserve">or law, especially related to Victoria’s environmental policy areas. </w:t>
      </w:r>
      <w:r w:rsidRPr="003C40C9">
        <w:rPr>
          <w:rFonts w:ascii="Arial" w:hAnsi="Arial" w:cs="Arial"/>
          <w:color w:val="000000"/>
          <w:lang w:val="en-US" w:eastAsia="zh-CN"/>
        </w:rPr>
        <w:t>​</w:t>
      </w:r>
    </w:p>
    <w:p w14:paraId="34D07FD0" w14:textId="77777777" w:rsidR="00572337" w:rsidRPr="003C40C9" w:rsidRDefault="00572337" w:rsidP="00572337">
      <w:pPr>
        <w:numPr>
          <w:ilvl w:val="0"/>
          <w:numId w:val="49"/>
        </w:numPr>
        <w:spacing w:before="0" w:after="0"/>
        <w:rPr>
          <w:rFonts w:ascii="Arial" w:hAnsi="Arial" w:cs="Arial"/>
          <w:color w:val="000000"/>
          <w:lang w:val="en-US" w:eastAsia="zh-CN"/>
        </w:rPr>
      </w:pPr>
      <w:r w:rsidRPr="003C40C9">
        <w:rPr>
          <w:rFonts w:ascii="Arial" w:hAnsi="Arial" w:cs="Arial"/>
          <w:color w:val="000000"/>
          <w:lang w:eastAsia="zh-CN"/>
        </w:rPr>
        <w:t>Experience in developing and managing highly motivated teams in a complex environment to deliver on changing priorities in a complex environment.</w:t>
      </w:r>
      <w:r w:rsidRPr="003C40C9">
        <w:rPr>
          <w:rFonts w:ascii="Arial" w:hAnsi="Arial" w:cs="Arial"/>
          <w:color w:val="000000"/>
          <w:lang w:val="en-US" w:eastAsia="zh-CN"/>
        </w:rPr>
        <w:t>​</w:t>
      </w:r>
    </w:p>
    <w:p w14:paraId="3DC42F4C" w14:textId="77777777" w:rsidR="00572337" w:rsidRPr="00495B3B" w:rsidRDefault="00572337" w:rsidP="00572337">
      <w:pPr>
        <w:spacing w:before="160" w:after="60"/>
        <w:rPr>
          <w:rFonts w:ascii="Arial" w:hAnsi="Arial" w:cs="Arial"/>
          <w:b/>
          <w:color w:val="363534"/>
        </w:rPr>
      </w:pPr>
      <w:r w:rsidRPr="00495B3B">
        <w:rPr>
          <w:rFonts w:ascii="Arial" w:hAnsi="Arial" w:cs="Arial"/>
          <w:b/>
          <w:color w:val="363534"/>
        </w:rPr>
        <w:t>Capabilities</w:t>
      </w:r>
    </w:p>
    <w:p w14:paraId="2A573D32" w14:textId="77777777" w:rsidR="00572337" w:rsidRPr="005061C1" w:rsidRDefault="00572337" w:rsidP="00572337">
      <w:pPr>
        <w:keepNext/>
        <w:numPr>
          <w:ilvl w:val="0"/>
          <w:numId w:val="50"/>
        </w:numPr>
        <w:spacing w:before="0" w:after="0" w:line="240" w:lineRule="auto"/>
        <w:rPr>
          <w:rFonts w:ascii="Arial" w:hAnsi="Arial" w:cs="Arial"/>
          <w:color w:val="000000"/>
          <w:lang w:val="en-US" w:eastAsia="zh-CN"/>
        </w:rPr>
      </w:pPr>
      <w:r w:rsidRPr="005061C1">
        <w:rPr>
          <w:rFonts w:ascii="Arial" w:hAnsi="Arial" w:cs="Arial"/>
          <w:b/>
          <w:bCs/>
          <w:color w:val="000000"/>
          <w:lang w:eastAsia="zh-CN"/>
        </w:rPr>
        <w:t>Critical Thinking and Problem Solving:</w:t>
      </w:r>
      <w:r w:rsidRPr="005061C1">
        <w:rPr>
          <w:rFonts w:ascii="Arial" w:hAnsi="Arial" w:cs="Arial"/>
          <w:color w:val="000000"/>
          <w:lang w:eastAsia="zh-CN"/>
        </w:rPr>
        <w:t xml:space="preserve"> Considers a broad range of topics (beyond immediate area of work), works across government and at senior levels to develop and deliver sustainable solutions</w:t>
      </w:r>
      <w:r w:rsidRPr="005061C1">
        <w:rPr>
          <w:rFonts w:ascii="Arial" w:hAnsi="Arial" w:cs="Arial"/>
          <w:color w:val="000000"/>
          <w:lang w:val="en-US" w:eastAsia="zh-CN"/>
        </w:rPr>
        <w:t>​</w:t>
      </w:r>
    </w:p>
    <w:p w14:paraId="6FD35EAF" w14:textId="77777777" w:rsidR="00572337" w:rsidRPr="005061C1" w:rsidRDefault="00572337" w:rsidP="00572337">
      <w:pPr>
        <w:keepNext/>
        <w:numPr>
          <w:ilvl w:val="0"/>
          <w:numId w:val="50"/>
        </w:numPr>
        <w:spacing w:before="0" w:after="0" w:line="240" w:lineRule="auto"/>
        <w:rPr>
          <w:rFonts w:ascii="Arial" w:hAnsi="Arial" w:cs="Arial"/>
          <w:color w:val="000000"/>
          <w:lang w:val="en-US" w:eastAsia="zh-CN"/>
        </w:rPr>
      </w:pPr>
      <w:r w:rsidRPr="005061C1">
        <w:rPr>
          <w:rFonts w:ascii="Arial" w:hAnsi="Arial" w:cs="Arial"/>
          <w:b/>
          <w:bCs/>
          <w:color w:val="000000"/>
          <w:lang w:eastAsia="zh-CN"/>
        </w:rPr>
        <w:t>Lead and navigate Change:</w:t>
      </w:r>
      <w:r w:rsidRPr="005061C1">
        <w:rPr>
          <w:rFonts w:ascii="Arial" w:hAnsi="Arial" w:cs="Arial"/>
          <w:color w:val="000000"/>
          <w:lang w:eastAsia="zh-CN"/>
        </w:rPr>
        <w:t xml:space="preserve"> Identifies long-term organisational change required with a focus on the wider political, social &amp; environmental context; Champions an organisational culture that actively seeks </w:t>
      </w:r>
      <w:r w:rsidRPr="005061C1">
        <w:rPr>
          <w:rFonts w:ascii="Arial" w:hAnsi="Arial" w:cs="Arial"/>
          <w:color w:val="000000"/>
          <w:lang w:eastAsia="zh-CN"/>
        </w:rPr>
        <w:lastRenderedPageBreak/>
        <w:t>opportunities to improve and where staff engage with and are committed to change; Anticipates, plans for and addresses cultural barriers to change at the organisational or VPS wide level.</w:t>
      </w:r>
      <w:r w:rsidRPr="005061C1">
        <w:rPr>
          <w:rFonts w:ascii="Arial" w:hAnsi="Arial" w:cs="Arial"/>
          <w:color w:val="000000"/>
          <w:lang w:val="en-US" w:eastAsia="zh-CN"/>
        </w:rPr>
        <w:t>​</w:t>
      </w:r>
    </w:p>
    <w:p w14:paraId="1AE45045" w14:textId="77777777" w:rsidR="00572337" w:rsidRPr="005061C1" w:rsidRDefault="00572337" w:rsidP="00572337">
      <w:pPr>
        <w:keepNext/>
        <w:numPr>
          <w:ilvl w:val="0"/>
          <w:numId w:val="50"/>
        </w:numPr>
        <w:spacing w:before="0" w:after="0" w:line="240" w:lineRule="auto"/>
        <w:rPr>
          <w:rFonts w:ascii="Arial" w:hAnsi="Arial" w:cs="Arial"/>
          <w:color w:val="000000"/>
          <w:lang w:eastAsia="zh-CN"/>
        </w:rPr>
      </w:pPr>
      <w:r w:rsidRPr="005061C1">
        <w:rPr>
          <w:rFonts w:ascii="Arial" w:hAnsi="Arial" w:cs="Arial"/>
          <w:b/>
          <w:bCs/>
          <w:color w:val="000000"/>
          <w:lang w:eastAsia="zh-CN"/>
        </w:rPr>
        <w:t>Communicate with impact</w:t>
      </w:r>
      <w:r w:rsidRPr="005061C1">
        <w:rPr>
          <w:rFonts w:ascii="Arial" w:hAnsi="Arial" w:cs="Arial"/>
          <w:color w:val="000000"/>
          <w:lang w:eastAsia="zh-CN"/>
        </w:rPr>
        <w:t>: Identifies key messages &amp; information required for decision-making; Provides high level advice on influencing and the needs of target audiences; Provides advice on the content and style appropriate to the audience. ​</w:t>
      </w:r>
    </w:p>
    <w:p w14:paraId="722B7400" w14:textId="39037E12" w:rsidR="00572337" w:rsidRPr="00572337" w:rsidRDefault="00572337" w:rsidP="00C556D8">
      <w:pPr>
        <w:keepNext/>
        <w:numPr>
          <w:ilvl w:val="0"/>
          <w:numId w:val="50"/>
        </w:numPr>
        <w:spacing w:before="0" w:after="0" w:line="240" w:lineRule="auto"/>
        <w:rPr>
          <w:rFonts w:ascii="Arial" w:hAnsi="Arial" w:cs="Arial"/>
          <w:bCs/>
          <w:color w:val="442D97"/>
          <w:sz w:val="28"/>
          <w:szCs w:val="28"/>
          <w:lang w:eastAsia="zh-CN"/>
        </w:rPr>
      </w:pPr>
      <w:r w:rsidRPr="00572337">
        <w:rPr>
          <w:rFonts w:ascii="Arial" w:hAnsi="Arial" w:cs="Arial"/>
          <w:b/>
          <w:bCs/>
          <w:color w:val="000000"/>
          <w:lang w:eastAsia="zh-CN"/>
        </w:rPr>
        <w:t>Working Collaboratively:</w:t>
      </w:r>
      <w:r w:rsidRPr="00572337">
        <w:rPr>
          <w:rFonts w:ascii="Arial" w:hAnsi="Arial" w:cs="Arial"/>
          <w:color w:val="000000"/>
          <w:lang w:eastAsia="zh-CN"/>
        </w:rPr>
        <w:t xml:space="preserve"> Build a culture of collaboration across the organisation; Looks for and facilitates opportunities to collaborate with external stakeholders; Identifies and overcomes barriers to communication with internal and external stakeholders</w:t>
      </w:r>
      <w:r w:rsidRPr="00572337">
        <w:rPr>
          <w:rFonts w:ascii="Arial" w:hAnsi="Arial" w:cs="Arial"/>
          <w:color w:val="000000"/>
          <w:lang w:val="en-US" w:eastAsia="zh-CN"/>
        </w:rPr>
        <w:t>​</w:t>
      </w:r>
      <w:r>
        <w:rPr>
          <w:rFonts w:ascii="Arial" w:hAnsi="Arial" w:cs="Arial"/>
          <w:color w:val="000000"/>
          <w:lang w:val="en-US" w:eastAsia="zh-CN"/>
        </w:rPr>
        <w:t>.</w:t>
      </w:r>
    </w:p>
    <w:p w14:paraId="61CC39B4" w14:textId="23398EE4" w:rsidR="00495B3B" w:rsidRPr="00572337" w:rsidRDefault="00572337" w:rsidP="00C556D8">
      <w:pPr>
        <w:keepNext/>
        <w:numPr>
          <w:ilvl w:val="0"/>
          <w:numId w:val="50"/>
        </w:numPr>
        <w:spacing w:before="0" w:after="0" w:line="240" w:lineRule="auto"/>
        <w:rPr>
          <w:rFonts w:ascii="Arial" w:hAnsi="Arial" w:cs="Arial"/>
          <w:bCs/>
          <w:color w:val="442D97"/>
          <w:sz w:val="28"/>
          <w:szCs w:val="28"/>
          <w:lang w:eastAsia="zh-CN"/>
        </w:rPr>
      </w:pPr>
      <w:r w:rsidRPr="00572337">
        <w:rPr>
          <w:rFonts w:ascii="Arial" w:hAnsi="Arial" w:cs="Arial"/>
          <w:b/>
          <w:bCs/>
          <w:color w:val="000000"/>
          <w:lang w:eastAsia="zh-CN"/>
        </w:rPr>
        <w:t>Strategic Planning:</w:t>
      </w:r>
      <w:r w:rsidRPr="00572337">
        <w:rPr>
          <w:rFonts w:ascii="Arial" w:hAnsi="Arial" w:cs="Arial"/>
          <w:color w:val="000000"/>
          <w:lang w:eastAsia="zh-CN"/>
        </w:rPr>
        <w:t xml:space="preserve"> Guides others through the strategic planning process, creating a shared vision for the future. Has a comprehensive understanding of external and internal issues that influence the strategic direction of the organisation. Ensures that overall strategic plan cascades to operational and team planning processes and performance plans; Provides subject matter expertise and building capability of others.</w:t>
      </w:r>
    </w:p>
    <w:p w14:paraId="21E8CCB5" w14:textId="77777777" w:rsidR="00572337" w:rsidRPr="00572337" w:rsidRDefault="00572337" w:rsidP="00572337">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12008EB7"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572337">
              <w:rPr>
                <w:rFonts w:cs="Arial"/>
                <w:color w:val="1A1A1A"/>
                <w:sz w:val="20"/>
              </w:rPr>
              <w:t>100,000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28E1287C" w:rsidR="00495B3B" w:rsidRPr="00572337" w:rsidRDefault="00495B3B" w:rsidP="00572337">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6B08E526" w:rsidR="00495B3B" w:rsidRPr="00495B3B" w:rsidRDefault="00495B3B" w:rsidP="0057233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60DAE0A1"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r w:rsidR="00572337">
              <w:rPr>
                <w:rFonts w:ascii="Arial" w:hAnsi="Arial" w:cs="Arial"/>
                <w:color w:val="1A1A1A"/>
                <w:sz w:val="20"/>
              </w:rPr>
              <w:t>.</w:t>
            </w:r>
          </w:p>
          <w:p w14:paraId="5C30C0A4" w14:textId="47E87A8C"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sidR="00572337">
              <w:rPr>
                <w:rFonts w:ascii="Arial" w:hAnsi="Arial" w:cs="Arial"/>
                <w:color w:val="1A1A1A"/>
                <w:sz w:val="20"/>
              </w:rPr>
              <w:t>.</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 xml:space="preserve">The department affirms that the collection and handling of applications         and personal information will be consistent with the requirements of the </w:t>
            </w:r>
            <w:r w:rsidRPr="00572337">
              <w:rPr>
                <w:rFonts w:ascii="Arial" w:hAnsi="Arial" w:cs="Arial"/>
                <w:i/>
                <w:iCs/>
                <w:color w:val="1A1A1A"/>
                <w:sz w:val="20"/>
              </w:rPr>
              <w:t>Privacy and Data Protection Act 2014</w:t>
            </w:r>
            <w:r w:rsidRPr="00495B3B">
              <w:rPr>
                <w:rFonts w:ascii="Arial" w:hAnsi="Arial" w:cs="Arial"/>
                <w:color w:val="1A1A1A"/>
                <w:sz w:val="20"/>
              </w:rPr>
              <w:t>.</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63423D">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3CB22294"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r w:rsidR="00572337">
        <w:t>.</w:t>
      </w:r>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7DA1" w14:textId="77777777" w:rsidR="004C5899" w:rsidRDefault="004C5899" w:rsidP="00CD157B">
      <w:pPr>
        <w:pStyle w:val="NoSpacing"/>
      </w:pPr>
    </w:p>
    <w:p w14:paraId="4EBA5E28" w14:textId="77777777" w:rsidR="004C5899" w:rsidRDefault="004C5899"/>
  </w:endnote>
  <w:endnote w:type="continuationSeparator" w:id="0">
    <w:p w14:paraId="4833035F" w14:textId="77777777" w:rsidR="004C5899" w:rsidRDefault="004C5899" w:rsidP="00CD157B">
      <w:pPr>
        <w:pStyle w:val="NoSpacing"/>
      </w:pPr>
    </w:p>
    <w:p w14:paraId="68152E3F" w14:textId="77777777" w:rsidR="004C5899" w:rsidRDefault="004C5899"/>
  </w:endnote>
  <w:endnote w:type="continuationNotice" w:id="1">
    <w:p w14:paraId="74639139" w14:textId="77777777" w:rsidR="004C5899" w:rsidRDefault="004C5899" w:rsidP="00CD157B">
      <w:pPr>
        <w:pStyle w:val="NoSpacing"/>
      </w:pPr>
    </w:p>
    <w:p w14:paraId="2AC730CB" w14:textId="77777777" w:rsidR="004C5899" w:rsidRDefault="004C5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5E10" w14:textId="77777777" w:rsidR="004C5899" w:rsidRPr="0056073C" w:rsidRDefault="004C5899" w:rsidP="005D764F">
      <w:pPr>
        <w:pStyle w:val="FootnoteSeparator"/>
      </w:pPr>
    </w:p>
    <w:p w14:paraId="7FDE53D1" w14:textId="77777777" w:rsidR="004C5899" w:rsidRDefault="004C5899"/>
  </w:footnote>
  <w:footnote w:type="continuationSeparator" w:id="0">
    <w:p w14:paraId="01A13605" w14:textId="77777777" w:rsidR="004C5899" w:rsidRPr="00CA30B7" w:rsidRDefault="004C5899" w:rsidP="006D5A90">
      <w:pPr>
        <w:rPr>
          <w:lang w:val="en-US"/>
        </w:rPr>
      </w:pPr>
      <w:r w:rsidRPr="00CA30B7">
        <w:rPr>
          <w:lang w:val="en-US"/>
        </w:rPr>
        <w:t>_______</w:t>
      </w:r>
    </w:p>
    <w:p w14:paraId="20A21F9B" w14:textId="77777777" w:rsidR="004C5899" w:rsidRDefault="004C5899"/>
  </w:footnote>
  <w:footnote w:type="continuationNotice" w:id="1">
    <w:p w14:paraId="40568C61" w14:textId="77777777" w:rsidR="004C5899" w:rsidRDefault="004C5899" w:rsidP="006D5A90"/>
    <w:p w14:paraId="53543CF1" w14:textId="77777777" w:rsidR="004C5899" w:rsidRDefault="004C5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372C87"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E87286"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230CC1"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63AF5C"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0FA016"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8D9532"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76E191"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E6C655"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DB8C32"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5E3A64"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F77061"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385F3E"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AF228D4"/>
    <w:multiLevelType w:val="hybridMultilevel"/>
    <w:tmpl w:val="9F006CB2"/>
    <w:lvl w:ilvl="0" w:tplc="72466CBE">
      <w:start w:val="1"/>
      <w:numFmt w:val="bullet"/>
      <w:lvlText w:val=""/>
      <w:lvlJc w:val="left"/>
      <w:pPr>
        <w:ind w:left="720" w:hanging="360"/>
      </w:pPr>
      <w:rPr>
        <w:rFonts w:ascii="Symbol" w:hAnsi="Symbol" w:hint="default"/>
      </w:rPr>
    </w:lvl>
    <w:lvl w:ilvl="1" w:tplc="31784E64">
      <w:start w:val="1"/>
      <w:numFmt w:val="bullet"/>
      <w:lvlText w:val="o"/>
      <w:lvlJc w:val="left"/>
      <w:pPr>
        <w:ind w:left="1440" w:hanging="360"/>
      </w:pPr>
      <w:rPr>
        <w:rFonts w:ascii="Symbol" w:hAnsi="Symbol" w:hint="default"/>
      </w:rPr>
    </w:lvl>
    <w:lvl w:ilvl="2" w:tplc="D1EE5072">
      <w:start w:val="1"/>
      <w:numFmt w:val="bullet"/>
      <w:lvlText w:val=""/>
      <w:lvlJc w:val="left"/>
      <w:pPr>
        <w:ind w:left="2160" w:hanging="360"/>
      </w:pPr>
      <w:rPr>
        <w:rFonts w:ascii="Wingdings" w:hAnsi="Wingdings" w:hint="default"/>
      </w:rPr>
    </w:lvl>
    <w:lvl w:ilvl="3" w:tplc="BBC2956A">
      <w:start w:val="1"/>
      <w:numFmt w:val="bullet"/>
      <w:lvlText w:val=""/>
      <w:lvlJc w:val="left"/>
      <w:pPr>
        <w:ind w:left="2880" w:hanging="360"/>
      </w:pPr>
      <w:rPr>
        <w:rFonts w:ascii="Symbol" w:hAnsi="Symbol" w:hint="default"/>
      </w:rPr>
    </w:lvl>
    <w:lvl w:ilvl="4" w:tplc="AA0AD9D8">
      <w:start w:val="1"/>
      <w:numFmt w:val="bullet"/>
      <w:lvlText w:val="o"/>
      <w:lvlJc w:val="left"/>
      <w:pPr>
        <w:ind w:left="3600" w:hanging="360"/>
      </w:pPr>
      <w:rPr>
        <w:rFonts w:ascii="Courier New" w:hAnsi="Courier New" w:hint="default"/>
      </w:rPr>
    </w:lvl>
    <w:lvl w:ilvl="5" w:tplc="AB543538">
      <w:start w:val="1"/>
      <w:numFmt w:val="bullet"/>
      <w:lvlText w:val=""/>
      <w:lvlJc w:val="left"/>
      <w:pPr>
        <w:ind w:left="4320" w:hanging="360"/>
      </w:pPr>
      <w:rPr>
        <w:rFonts w:ascii="Wingdings" w:hAnsi="Wingdings" w:hint="default"/>
      </w:rPr>
    </w:lvl>
    <w:lvl w:ilvl="6" w:tplc="EEFE0E8E">
      <w:start w:val="1"/>
      <w:numFmt w:val="bullet"/>
      <w:lvlText w:val=""/>
      <w:lvlJc w:val="left"/>
      <w:pPr>
        <w:ind w:left="5040" w:hanging="360"/>
      </w:pPr>
      <w:rPr>
        <w:rFonts w:ascii="Symbol" w:hAnsi="Symbol" w:hint="default"/>
      </w:rPr>
    </w:lvl>
    <w:lvl w:ilvl="7" w:tplc="B61E3A18">
      <w:start w:val="1"/>
      <w:numFmt w:val="bullet"/>
      <w:lvlText w:val="o"/>
      <w:lvlJc w:val="left"/>
      <w:pPr>
        <w:ind w:left="5760" w:hanging="360"/>
      </w:pPr>
      <w:rPr>
        <w:rFonts w:ascii="Courier New" w:hAnsi="Courier New" w:hint="default"/>
      </w:rPr>
    </w:lvl>
    <w:lvl w:ilvl="8" w:tplc="0D7E0A50">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DA4F889"/>
    <w:multiLevelType w:val="hybridMultilevel"/>
    <w:tmpl w:val="0F00B50E"/>
    <w:lvl w:ilvl="0" w:tplc="849A755E">
      <w:start w:val="1"/>
      <w:numFmt w:val="bullet"/>
      <w:lvlText w:val=""/>
      <w:lvlJc w:val="left"/>
      <w:pPr>
        <w:ind w:left="720" w:hanging="360"/>
      </w:pPr>
      <w:rPr>
        <w:rFonts w:ascii="Symbol" w:hAnsi="Symbol" w:hint="default"/>
      </w:rPr>
    </w:lvl>
    <w:lvl w:ilvl="1" w:tplc="3B800264">
      <w:start w:val="1"/>
      <w:numFmt w:val="bullet"/>
      <w:lvlText w:val="o"/>
      <w:lvlJc w:val="left"/>
      <w:pPr>
        <w:ind w:left="1440" w:hanging="360"/>
      </w:pPr>
      <w:rPr>
        <w:rFonts w:ascii="Courier New" w:hAnsi="Courier New" w:hint="default"/>
      </w:rPr>
    </w:lvl>
    <w:lvl w:ilvl="2" w:tplc="FAF4FC7A">
      <w:start w:val="1"/>
      <w:numFmt w:val="bullet"/>
      <w:lvlText w:val=""/>
      <w:lvlJc w:val="left"/>
      <w:pPr>
        <w:ind w:left="2160" w:hanging="360"/>
      </w:pPr>
      <w:rPr>
        <w:rFonts w:ascii="Wingdings" w:hAnsi="Wingdings" w:hint="default"/>
      </w:rPr>
    </w:lvl>
    <w:lvl w:ilvl="3" w:tplc="737011B6">
      <w:start w:val="1"/>
      <w:numFmt w:val="bullet"/>
      <w:lvlText w:val=""/>
      <w:lvlJc w:val="left"/>
      <w:pPr>
        <w:ind w:left="2880" w:hanging="360"/>
      </w:pPr>
      <w:rPr>
        <w:rFonts w:ascii="Symbol" w:hAnsi="Symbol" w:hint="default"/>
      </w:rPr>
    </w:lvl>
    <w:lvl w:ilvl="4" w:tplc="AF106920">
      <w:start w:val="1"/>
      <w:numFmt w:val="bullet"/>
      <w:lvlText w:val="o"/>
      <w:lvlJc w:val="left"/>
      <w:pPr>
        <w:ind w:left="3600" w:hanging="360"/>
      </w:pPr>
      <w:rPr>
        <w:rFonts w:ascii="Courier New" w:hAnsi="Courier New" w:hint="default"/>
      </w:rPr>
    </w:lvl>
    <w:lvl w:ilvl="5" w:tplc="90E2B756">
      <w:start w:val="1"/>
      <w:numFmt w:val="bullet"/>
      <w:lvlText w:val=""/>
      <w:lvlJc w:val="left"/>
      <w:pPr>
        <w:ind w:left="4320" w:hanging="360"/>
      </w:pPr>
      <w:rPr>
        <w:rFonts w:ascii="Wingdings" w:hAnsi="Wingdings" w:hint="default"/>
      </w:rPr>
    </w:lvl>
    <w:lvl w:ilvl="6" w:tplc="D1343526">
      <w:start w:val="1"/>
      <w:numFmt w:val="bullet"/>
      <w:lvlText w:val=""/>
      <w:lvlJc w:val="left"/>
      <w:pPr>
        <w:ind w:left="5040" w:hanging="360"/>
      </w:pPr>
      <w:rPr>
        <w:rFonts w:ascii="Symbol" w:hAnsi="Symbol" w:hint="default"/>
      </w:rPr>
    </w:lvl>
    <w:lvl w:ilvl="7" w:tplc="7FDEEDA0">
      <w:start w:val="1"/>
      <w:numFmt w:val="bullet"/>
      <w:lvlText w:val="o"/>
      <w:lvlJc w:val="left"/>
      <w:pPr>
        <w:ind w:left="5760" w:hanging="360"/>
      </w:pPr>
      <w:rPr>
        <w:rFonts w:ascii="Courier New" w:hAnsi="Courier New" w:hint="default"/>
      </w:rPr>
    </w:lvl>
    <w:lvl w:ilvl="8" w:tplc="A0743108">
      <w:start w:val="1"/>
      <w:numFmt w:val="bullet"/>
      <w:lvlText w:val=""/>
      <w:lvlJc w:val="left"/>
      <w:pPr>
        <w:ind w:left="6480" w:hanging="360"/>
      </w:pPr>
      <w:rPr>
        <w:rFonts w:ascii="Wingdings" w:hAnsi="Wingdings" w:hint="default"/>
      </w:rPr>
    </w:lvl>
  </w:abstractNum>
  <w:abstractNum w:abstractNumId="9"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A6B33B0"/>
    <w:multiLevelType w:val="multilevel"/>
    <w:tmpl w:val="2B00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ED3521"/>
    <w:multiLevelType w:val="multilevel"/>
    <w:tmpl w:val="D0C0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221250EF"/>
    <w:multiLevelType w:val="multilevel"/>
    <w:tmpl w:val="2A72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0"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4"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6C217C14"/>
    <w:multiLevelType w:val="multilevel"/>
    <w:tmpl w:val="D0C0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6"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7"/>
  </w:num>
  <w:num w:numId="2" w16cid:durableId="1128745877">
    <w:abstractNumId w:val="18"/>
  </w:num>
  <w:num w:numId="3" w16cid:durableId="170411264">
    <w:abstractNumId w:val="49"/>
  </w:num>
  <w:num w:numId="4" w16cid:durableId="985085104">
    <w:abstractNumId w:val="15"/>
  </w:num>
  <w:num w:numId="5" w16cid:durableId="1872112631">
    <w:abstractNumId w:val="19"/>
  </w:num>
  <w:num w:numId="6" w16cid:durableId="336812815">
    <w:abstractNumId w:val="33"/>
  </w:num>
  <w:num w:numId="7" w16cid:durableId="155153463">
    <w:abstractNumId w:val="3"/>
  </w:num>
  <w:num w:numId="8" w16cid:durableId="1428236886">
    <w:abstractNumId w:val="37"/>
  </w:num>
  <w:num w:numId="9" w16cid:durableId="1644658156">
    <w:abstractNumId w:val="28"/>
  </w:num>
  <w:num w:numId="10" w16cid:durableId="103154041">
    <w:abstractNumId w:val="39"/>
  </w:num>
  <w:num w:numId="11" w16cid:durableId="2129203638">
    <w:abstractNumId w:val="43"/>
  </w:num>
  <w:num w:numId="12" w16cid:durableId="377365663">
    <w:abstractNumId w:val="34"/>
  </w:num>
  <w:num w:numId="13" w16cid:durableId="1308436166">
    <w:abstractNumId w:val="36"/>
  </w:num>
  <w:num w:numId="14" w16cid:durableId="1335643199">
    <w:abstractNumId w:val="47"/>
  </w:num>
  <w:num w:numId="15" w16cid:durableId="384449836">
    <w:abstractNumId w:val="11"/>
  </w:num>
  <w:num w:numId="16" w16cid:durableId="1160577431">
    <w:abstractNumId w:val="38"/>
  </w:num>
  <w:num w:numId="17" w16cid:durableId="27071314">
    <w:abstractNumId w:val="10"/>
  </w:num>
  <w:num w:numId="18" w16cid:durableId="338120444">
    <w:abstractNumId w:val="6"/>
  </w:num>
  <w:num w:numId="19" w16cid:durableId="1673139647">
    <w:abstractNumId w:val="24"/>
  </w:num>
  <w:num w:numId="20" w16cid:durableId="197548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21"/>
  </w:num>
  <w:num w:numId="26" w16cid:durableId="8933492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1"/>
  </w:num>
  <w:num w:numId="30" w16cid:durableId="1579175524">
    <w:abstractNumId w:val="0"/>
  </w:num>
  <w:num w:numId="31" w16cid:durableId="1199856773">
    <w:abstractNumId w:val="2"/>
  </w:num>
  <w:num w:numId="32" w16cid:durableId="2138447666">
    <w:abstractNumId w:val="1"/>
  </w:num>
  <w:num w:numId="33" w16cid:durableId="334118162">
    <w:abstractNumId w:val="45"/>
  </w:num>
  <w:num w:numId="34" w16cid:durableId="196283207">
    <w:abstractNumId w:val="48"/>
  </w:num>
  <w:num w:numId="35" w16cid:durableId="1742215375">
    <w:abstractNumId w:val="58"/>
  </w:num>
  <w:num w:numId="36" w16cid:durableId="664823544">
    <w:abstractNumId w:val="54"/>
  </w:num>
  <w:num w:numId="37" w16cid:durableId="5922503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6"/>
  </w:num>
  <w:num w:numId="40" w16cid:durableId="16010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20"/>
  </w:num>
  <w:num w:numId="42" w16cid:durableId="1149785811">
    <w:abstractNumId w:val="42"/>
  </w:num>
  <w:num w:numId="43" w16cid:durableId="729228463">
    <w:abstractNumId w:val="9"/>
  </w:num>
  <w:num w:numId="44" w16cid:durableId="322781625">
    <w:abstractNumId w:val="35"/>
  </w:num>
  <w:num w:numId="45" w16cid:durableId="1048991226">
    <w:abstractNumId w:val="5"/>
  </w:num>
  <w:num w:numId="46" w16cid:durableId="2133353825">
    <w:abstractNumId w:val="8"/>
  </w:num>
  <w:num w:numId="47" w16cid:durableId="1774789123">
    <w:abstractNumId w:val="16"/>
  </w:num>
  <w:num w:numId="48" w16cid:durableId="744034091">
    <w:abstractNumId w:val="53"/>
  </w:num>
  <w:num w:numId="49" w16cid:durableId="698702954">
    <w:abstractNumId w:val="13"/>
  </w:num>
  <w:num w:numId="50" w16cid:durableId="195174127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5899"/>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337"/>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23D"/>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2EB"/>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05E"/>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15</Value>
      <Value>1</Value>
    </TaxCatchAll>
    <b9b43b809ea4445880dbf70bb9849525 xmlns="9fd47c19-1c4a-4d7d-b342-c10cef269344">
      <Terms xmlns="http://schemas.microsoft.com/office/infopath/2007/PartnerControl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9c4c9ff1-6507-4003-9a10-6bc219b54808" xsi:nil="true"/>
    <_dlc_DocId xmlns="a5f32de4-e402-4188-b034-e71ca7d22e54">DOCID1094-730416742-72</_dlc_DocId>
    <_dlc_DocIdUrl xmlns="a5f32de4-e402-4188-b034-e71ca7d22e54">
      <Url>https://delwpvicgovau.sharepoint.com/sites/ecm_1094/_layouts/15/DocIdRedir.aspx?ID=DOCID1094-730416742-72</Url>
      <Description>DOCID1094-730416742-72</Description>
    </_dlc_DocIdUrl>
    <DLCPolicyLabelValue xmlns="9c4c9ff1-6507-4003-9a10-6bc219b54808">Version 0.1</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F60EFC1F504F094FAB2910036CF8167C" ma:contentTypeVersion="208" ma:contentTypeDescription="For use with ECM V2 HR Administration libraries. Documents relating to the hiring, on boarding, secondment, higher duties etc. of staff and contractors. &#10;!Note: Performance Management is in EPP " ma:contentTypeScope="" ma:versionID="d3f49a7975fe9d6d0bbd1fcb8a0aa32d">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a02d2c8c-1b29-4d3c-a9df-fd1beb82992a" targetNamespace="http://schemas.microsoft.com/office/2006/metadata/properties" ma:root="true" ma:fieldsID="3bbe8722ce8d29f6f0904e509efbe5b8" ns1:_="" ns2:_="" ns3:_="" ns4:_="" ns5:_="">
    <xsd:import namespace="http://schemas.microsoft.com/sharepoint/v3"/>
    <xsd:import namespace="9fd47c19-1c4a-4d7d-b342-c10cef269344"/>
    <xsd:import namespace="a5f32de4-e402-4188-b034-e71ca7d22e54"/>
    <xsd:import namespace="9c4c9ff1-6507-4003-9a10-6bc219b54808"/>
    <xsd:import namespace="a02d2c8c-1b29-4d3c-a9df-fd1beb82992a"/>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2d2c8c-1b29-4d3c-a9df-fd1beb82992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s>
</ds:datastoreItem>
</file>

<file path=customXml/itemProps5.xml><?xml version="1.0" encoding="utf-8"?>
<ds:datastoreItem xmlns:ds="http://schemas.openxmlformats.org/officeDocument/2006/customXml" ds:itemID="{A01D69DA-4F69-4A29-9226-2196FAC35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a02d2c8c-1b29-4d3c-a9df-fd1beb829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DC99AF-5223-48E3-A949-AA7F63FD5E0F}">
  <ds:schemaRefs>
    <ds:schemaRef ds:uri="office.server.policy"/>
  </ds:schemaRefs>
</ds:datastoreItem>
</file>

<file path=customXml/itemProps7.xml><?xml version="1.0" encoding="utf-8"?>
<ds:datastoreItem xmlns:ds="http://schemas.openxmlformats.org/officeDocument/2006/customXml" ds:itemID="{AE171832-88DE-47A0-AB72-6CA99B55FE74}">
  <ds:schemaRefs>
    <ds:schemaRef ds:uri="Microsoft.SharePoint.Taxonomy.ContentTypeSync"/>
  </ds:schemaRefs>
</ds:datastoreItem>
</file>

<file path=customXml/itemProps8.xml><?xml version="1.0" encoding="utf-8"?>
<ds:datastoreItem xmlns:ds="http://schemas.openxmlformats.org/officeDocument/2006/customXml" ds:itemID="{A58CC86E-34FB-4D50-9CB6-E26BC75F02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Emmalene R Gottwald (DEECA)</cp:lastModifiedBy>
  <cp:revision>2</cp:revision>
  <cp:lastPrinted>2022-06-17T02:14:00Z</cp:lastPrinted>
  <dcterms:created xsi:type="dcterms:W3CDTF">2026-06-15T23:57:00Z</dcterms:created>
  <dcterms:modified xsi:type="dcterms:W3CDTF">2026-06-15T23:57:00Z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0x0101009298E819CE1EBB4F8D2096B3E0F0C2910F00F60EFC1F504F094FAB2910036CF8167C</vt:lpwstr>
  </property>
  <property fmtid="{D5CDD505-2E9C-101B-9397-08002B2CF9AE}" pid="5" name="MediaServiceImageTags">
    <vt:lpwstr/>
  </property>
  <property fmtid="{D5CDD505-2E9C-101B-9397-08002B2CF9AE}" pid="6" name="_dlc_DocIdItemGuid">
    <vt:lpwstr>7e18b0d0-ad43-4380-88f6-97c625a1d851</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y fmtid="{D5CDD505-2E9C-101B-9397-08002B2CF9AE}" pid="25" name="Records_x0020_Class_x0020_HR_x0020_Admin">
    <vt:lpwstr>15;#Position Description|9b605b16-5ff4-4142-9815-57489365a519</vt:lpwstr>
  </property>
  <property fmtid="{D5CDD505-2E9C-101B-9397-08002B2CF9AE}" pid="26" name="Security_x0020_Classification">
    <vt:lpwstr>2;#Unclassified|7fa379f4-4aba-4692-ab80-7d39d3a23cf4</vt:lpwstr>
  </property>
  <property fmtid="{D5CDD505-2E9C-101B-9397-08002B2CF9AE}" pid="27" name="Department_x0020_Document_x0020_Type">
    <vt:lpwstr/>
  </property>
  <property fmtid="{D5CDD505-2E9C-101B-9397-08002B2CF9AE}" pid="28" name="Dissemination_x0020_Limiting_x0020_Marker">
    <vt:lpwstr>1;#FOUO|955eb6fc-b35a-4808-8aa5-31e514fa3f26</vt:lpwstr>
  </property>
  <property fmtid="{D5CDD505-2E9C-101B-9397-08002B2CF9AE}" pid="29" name="Records Class HR Admin">
    <vt:lpwstr>15</vt:lpwstr>
  </property>
</Properties>
</file>