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24D6D" w14:textId="52B3B12F" w:rsidR="39842BD4" w:rsidRDefault="39842BD4" w:rsidP="39842BD4">
      <w:pPr>
        <w:pStyle w:val="Heading1"/>
        <w:framePr w:wrap="around"/>
      </w:pPr>
    </w:p>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B9A2F4C"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4569955">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52C9A125" w:rsidR="00495B3B" w:rsidRPr="000772F4" w:rsidRDefault="00E87A70" w:rsidP="00495B3B">
            <w:pPr>
              <w:spacing w:before="0" w:after="0"/>
              <w:ind w:left="57" w:right="-450"/>
              <w:rPr>
                <w:rFonts w:ascii="Arial" w:hAnsi="Arial" w:cs="Arial"/>
                <w:szCs w:val="22"/>
              </w:rPr>
            </w:pPr>
            <w:r w:rsidRPr="000772F4">
              <w:rPr>
                <w:rFonts w:ascii="Arial" w:hAnsi="Arial" w:cs="Arial"/>
                <w:szCs w:val="22"/>
              </w:rPr>
              <w:t>Senior Policy Officer</w:t>
            </w:r>
            <w:r w:rsidR="0072069D" w:rsidRPr="000772F4">
              <w:rPr>
                <w:rFonts w:ascii="Arial" w:hAnsi="Arial" w:cs="Arial"/>
                <w:szCs w:val="22"/>
              </w:rPr>
              <w:t>, Large Load Policy</w:t>
            </w:r>
          </w:p>
        </w:tc>
      </w:tr>
      <w:tr w:rsidR="00495B3B" w:rsidRPr="00495B3B" w14:paraId="5F8F815C" w14:textId="77777777" w:rsidTr="14569955">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1E2B1E5F" w:rsidR="00495B3B" w:rsidRPr="000772F4" w:rsidRDefault="7FEA1A4E" w:rsidP="14569955">
            <w:pPr>
              <w:spacing w:before="0" w:after="0"/>
              <w:ind w:left="57" w:right="-450"/>
              <w:rPr>
                <w:rFonts w:ascii="Arial" w:hAnsi="Arial" w:cs="Arial"/>
              </w:rPr>
            </w:pPr>
            <w:r w:rsidRPr="000772F4">
              <w:rPr>
                <w:rFonts w:cs="Arial"/>
              </w:rPr>
              <w:t>50967644</w:t>
            </w:r>
          </w:p>
        </w:tc>
      </w:tr>
      <w:tr w:rsidR="00495B3B" w:rsidRPr="00495B3B" w14:paraId="6052E497" w14:textId="77777777" w:rsidTr="14569955">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352584B" w:rsidR="00495B3B" w:rsidRPr="000772F4" w:rsidRDefault="00E87A70" w:rsidP="00495B3B">
            <w:pPr>
              <w:spacing w:before="0" w:after="0"/>
              <w:ind w:left="57" w:right="-450"/>
              <w:rPr>
                <w:rFonts w:ascii="Arial" w:hAnsi="Arial" w:cs="Arial"/>
                <w:szCs w:val="22"/>
              </w:rPr>
            </w:pPr>
            <w:r w:rsidRPr="000772F4">
              <w:rPr>
                <w:rFonts w:ascii="Arial" w:hAnsi="Arial" w:cs="Arial"/>
                <w:szCs w:val="22"/>
              </w:rPr>
              <w:t>VPS</w:t>
            </w:r>
            <w:r w:rsidR="000772F4" w:rsidRPr="000772F4">
              <w:rPr>
                <w:rFonts w:ascii="Arial" w:hAnsi="Arial" w:cs="Arial"/>
                <w:szCs w:val="22"/>
              </w:rPr>
              <w:t xml:space="preserve"> Grade </w:t>
            </w:r>
            <w:r w:rsidRPr="000772F4">
              <w:rPr>
                <w:rFonts w:ascii="Arial" w:hAnsi="Arial" w:cs="Arial"/>
                <w:szCs w:val="22"/>
              </w:rPr>
              <w:t>5</w:t>
            </w:r>
          </w:p>
        </w:tc>
      </w:tr>
      <w:tr w:rsidR="00495B3B" w:rsidRPr="00495B3B" w14:paraId="513E600D" w14:textId="77777777" w:rsidTr="14569955">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4CFC3DD1" w:rsidR="00495B3B" w:rsidRPr="000772F4" w:rsidRDefault="00F852B9" w:rsidP="00B46CA4">
            <w:pPr>
              <w:spacing w:before="0" w:after="0"/>
              <w:ind w:left="57" w:right="-450"/>
              <w:rPr>
                <w:rFonts w:ascii="Arial" w:hAnsi="Arial" w:cs="Arial"/>
                <w:szCs w:val="22"/>
              </w:rPr>
            </w:pPr>
            <w:r w:rsidRPr="000772F4">
              <w:rPr>
                <w:rFonts w:ascii="Arial" w:hAnsi="Arial" w:cs="Arial"/>
                <w:szCs w:val="22"/>
              </w:rPr>
              <w:t xml:space="preserve">$116,413 - $140,849 </w:t>
            </w:r>
            <w:r w:rsidR="00B46CA4" w:rsidRPr="000772F4">
              <w:rPr>
                <w:rFonts w:ascii="Arial" w:hAnsi="Arial" w:cs="Arial"/>
                <w:szCs w:val="22"/>
              </w:rPr>
              <w:t>plus superannuation</w:t>
            </w:r>
          </w:p>
        </w:tc>
      </w:tr>
      <w:tr w:rsidR="00495B3B" w:rsidRPr="00495B3B" w14:paraId="2A722203" w14:textId="77777777" w:rsidTr="14569955">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73126E61" w:rsidR="00495B3B" w:rsidRPr="000772F4" w:rsidRDefault="00EF2C1E" w:rsidP="00495B3B">
            <w:pPr>
              <w:tabs>
                <w:tab w:val="left" w:pos="3529"/>
              </w:tabs>
              <w:spacing w:before="0" w:after="0"/>
              <w:ind w:left="57" w:right="-450"/>
              <w:rPr>
                <w:rFonts w:ascii="Arial" w:hAnsi="Arial" w:cs="Arial"/>
                <w:szCs w:val="22"/>
              </w:rPr>
            </w:pPr>
            <w:r w:rsidRPr="000772F4">
              <w:rPr>
                <w:rFonts w:ascii="Arial" w:hAnsi="Arial" w:cs="Arial"/>
                <w:szCs w:val="22"/>
              </w:rPr>
              <w:t xml:space="preserve">Fixed Term </w:t>
            </w:r>
            <w:r w:rsidR="000772F4" w:rsidRPr="000772F4">
              <w:rPr>
                <w:rFonts w:ascii="Arial" w:hAnsi="Arial" w:cs="Arial"/>
                <w:szCs w:val="22"/>
              </w:rPr>
              <w:t xml:space="preserve">until </w:t>
            </w:r>
            <w:r w:rsidRPr="000772F4">
              <w:rPr>
                <w:rFonts w:ascii="Arial" w:hAnsi="Arial" w:cs="Arial"/>
                <w:szCs w:val="22"/>
              </w:rPr>
              <w:t>30 June 2028</w:t>
            </w:r>
          </w:p>
        </w:tc>
      </w:tr>
      <w:tr w:rsidR="00495B3B" w:rsidRPr="00495B3B" w14:paraId="73E4C712" w14:textId="77777777" w:rsidTr="14569955">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163E4662" w:rsidR="00495B3B" w:rsidRPr="000772F4" w:rsidRDefault="00B46CA4" w:rsidP="00495B3B">
            <w:pPr>
              <w:spacing w:before="0" w:after="0"/>
              <w:ind w:left="57" w:right="-450"/>
              <w:rPr>
                <w:rFonts w:ascii="Arial" w:hAnsi="Arial" w:cs="Arial"/>
                <w:szCs w:val="22"/>
              </w:rPr>
            </w:pPr>
            <w:r w:rsidRPr="000772F4">
              <w:rPr>
                <w:rFonts w:ascii="Arial" w:hAnsi="Arial" w:cs="Arial"/>
                <w:szCs w:val="22"/>
              </w:rPr>
              <w:t>Energy Group</w:t>
            </w:r>
          </w:p>
        </w:tc>
      </w:tr>
      <w:tr w:rsidR="00495B3B" w:rsidRPr="00495B3B" w14:paraId="1EBFF7E6" w14:textId="77777777" w:rsidTr="14569955">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0C59D90F" w:rsidR="00495B3B" w:rsidRPr="000772F4" w:rsidRDefault="00F852B9" w:rsidP="000772F4">
            <w:pPr>
              <w:spacing w:before="0" w:after="0"/>
              <w:ind w:left="57" w:right="-450"/>
              <w:rPr>
                <w:rFonts w:ascii="Arial" w:hAnsi="Arial" w:cs="Arial"/>
                <w:szCs w:val="22"/>
              </w:rPr>
            </w:pPr>
            <w:r w:rsidRPr="000772F4">
              <w:rPr>
                <w:rFonts w:ascii="Arial" w:hAnsi="Arial" w:cs="Arial"/>
                <w:szCs w:val="22"/>
              </w:rPr>
              <w:t>Large Scale Energy Transition</w:t>
            </w:r>
            <w:r w:rsidR="000772F4" w:rsidRPr="000772F4">
              <w:rPr>
                <w:rFonts w:ascii="Arial" w:hAnsi="Arial" w:cs="Arial"/>
                <w:szCs w:val="22"/>
              </w:rPr>
              <w:t xml:space="preserve">; </w:t>
            </w:r>
            <w:r w:rsidR="0099382F" w:rsidRPr="000772F4">
              <w:rPr>
                <w:rFonts w:ascii="Arial" w:hAnsi="Arial" w:cs="Arial"/>
                <w:szCs w:val="22"/>
              </w:rPr>
              <w:t>Transmission</w:t>
            </w:r>
            <w:r w:rsidR="00A13CEB" w:rsidRPr="000772F4">
              <w:rPr>
                <w:rFonts w:ascii="Arial" w:hAnsi="Arial" w:cs="Arial"/>
                <w:szCs w:val="22"/>
              </w:rPr>
              <w:t xml:space="preserve"> Policy</w:t>
            </w:r>
            <w:r w:rsidR="0099382F" w:rsidRPr="000772F4">
              <w:rPr>
                <w:rFonts w:ascii="Arial" w:hAnsi="Arial" w:cs="Arial"/>
                <w:szCs w:val="22"/>
              </w:rPr>
              <w:t xml:space="preserve"> and Large Load Policy </w:t>
            </w:r>
          </w:p>
        </w:tc>
      </w:tr>
      <w:tr w:rsidR="00495B3B" w:rsidRPr="00495B3B" w14:paraId="37A0D7CE" w14:textId="77777777" w:rsidTr="14569955">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1CFF67F" w:rsidR="00495B3B" w:rsidRPr="000772F4" w:rsidRDefault="00B46CA4" w:rsidP="00B46CA4">
            <w:pPr>
              <w:spacing w:before="0" w:after="0"/>
              <w:ind w:left="57" w:right="-450"/>
              <w:rPr>
                <w:rFonts w:ascii="Arial" w:hAnsi="Arial" w:cs="Arial"/>
                <w:szCs w:val="22"/>
              </w:rPr>
            </w:pPr>
            <w:r w:rsidRPr="000772F4">
              <w:rPr>
                <w:rFonts w:ascii="Arial" w:hAnsi="Arial" w:cs="Arial"/>
                <w:szCs w:val="22"/>
              </w:rPr>
              <w:t>8 Nicholson Street, East Melbourne</w:t>
            </w:r>
          </w:p>
          <w:p w14:paraId="3B7CA3B3" w14:textId="1B321B01" w:rsidR="00495B3B" w:rsidRPr="000772F4" w:rsidRDefault="00495B3B" w:rsidP="00495B3B">
            <w:pPr>
              <w:spacing w:before="0" w:after="0"/>
              <w:ind w:left="57" w:right="-450"/>
              <w:rPr>
                <w:rFonts w:ascii="Arial" w:hAnsi="Arial" w:cs="Arial"/>
                <w:szCs w:val="22"/>
              </w:rPr>
            </w:pPr>
            <w:r w:rsidRPr="000772F4">
              <w:rPr>
                <w:rFonts w:ascii="Arial" w:hAnsi="Arial" w:cs="Arial"/>
                <w:szCs w:val="22"/>
              </w:rPr>
              <w:t xml:space="preserve">Hybrid work arrangement available: </w:t>
            </w:r>
            <w:r w:rsidR="00B46CA4" w:rsidRPr="000772F4">
              <w:rPr>
                <w:rFonts w:ascii="Arial" w:hAnsi="Arial" w:cs="Arial"/>
                <w:szCs w:val="22"/>
              </w:rPr>
              <w:fldChar w:fldCharType="begin">
                <w:ffData>
                  <w:name w:val=""/>
                  <w:enabled/>
                  <w:calcOnExit w:val="0"/>
                  <w:checkBox>
                    <w:size w:val="26"/>
                    <w:default w:val="1"/>
                  </w:checkBox>
                </w:ffData>
              </w:fldChar>
            </w:r>
            <w:r w:rsidR="00B46CA4" w:rsidRPr="000772F4">
              <w:rPr>
                <w:rFonts w:ascii="Arial" w:hAnsi="Arial" w:cs="Arial"/>
                <w:szCs w:val="22"/>
              </w:rPr>
              <w:instrText xml:space="preserve"> FORMCHECKBOX </w:instrText>
            </w:r>
            <w:r w:rsidR="00B46CA4" w:rsidRPr="000772F4">
              <w:rPr>
                <w:rFonts w:ascii="Arial" w:hAnsi="Arial" w:cs="Arial"/>
                <w:szCs w:val="22"/>
              </w:rPr>
            </w:r>
            <w:r w:rsidR="00B46CA4" w:rsidRPr="000772F4">
              <w:rPr>
                <w:rFonts w:ascii="Arial" w:hAnsi="Arial" w:cs="Arial"/>
                <w:szCs w:val="22"/>
              </w:rPr>
              <w:fldChar w:fldCharType="separate"/>
            </w:r>
            <w:r w:rsidR="00B46CA4" w:rsidRPr="000772F4">
              <w:rPr>
                <w:rFonts w:ascii="Arial" w:hAnsi="Arial" w:cs="Arial"/>
                <w:szCs w:val="22"/>
              </w:rPr>
              <w:fldChar w:fldCharType="end"/>
            </w:r>
            <w:r w:rsidRPr="000772F4">
              <w:rPr>
                <w:rFonts w:ascii="Arial" w:hAnsi="Arial" w:cs="Arial"/>
                <w:szCs w:val="22"/>
              </w:rPr>
              <w:t>Yes</w:t>
            </w:r>
            <w:r w:rsidRPr="000772F4">
              <w:rPr>
                <w:rFonts w:ascii="Arial" w:hAnsi="Arial" w:cs="Arial"/>
                <w:szCs w:val="22"/>
              </w:rPr>
              <w:tab/>
            </w:r>
            <w:r w:rsidRPr="000772F4">
              <w:rPr>
                <w:rFonts w:ascii="Arial" w:hAnsi="Arial" w:cs="Arial"/>
                <w:szCs w:val="22"/>
              </w:rPr>
              <w:fldChar w:fldCharType="begin">
                <w:ffData>
                  <w:name w:val=""/>
                  <w:enabled/>
                  <w:calcOnExit w:val="0"/>
                  <w:checkBox>
                    <w:size w:val="26"/>
                    <w:default w:val="0"/>
                    <w:checked w:val="0"/>
                  </w:checkBox>
                </w:ffData>
              </w:fldChar>
            </w:r>
            <w:r w:rsidRPr="000772F4">
              <w:rPr>
                <w:rFonts w:ascii="Arial" w:hAnsi="Arial" w:cs="Arial"/>
                <w:szCs w:val="22"/>
              </w:rPr>
              <w:instrText xml:space="preserve"> FORMCHECKBOX </w:instrText>
            </w:r>
            <w:r w:rsidRPr="000772F4">
              <w:rPr>
                <w:rFonts w:ascii="Arial" w:hAnsi="Arial" w:cs="Arial"/>
                <w:szCs w:val="22"/>
              </w:rPr>
            </w:r>
            <w:r w:rsidRPr="000772F4">
              <w:rPr>
                <w:rFonts w:ascii="Arial" w:hAnsi="Arial" w:cs="Arial"/>
                <w:szCs w:val="22"/>
              </w:rPr>
              <w:fldChar w:fldCharType="separate"/>
            </w:r>
            <w:r w:rsidRPr="000772F4">
              <w:rPr>
                <w:rFonts w:ascii="Arial" w:hAnsi="Arial" w:cs="Arial"/>
                <w:szCs w:val="22"/>
              </w:rPr>
              <w:fldChar w:fldCharType="end"/>
            </w:r>
            <w:r w:rsidRPr="000772F4">
              <w:rPr>
                <w:rFonts w:ascii="Arial" w:hAnsi="Arial" w:cs="Arial"/>
                <w:szCs w:val="22"/>
              </w:rPr>
              <w:t xml:space="preserve">  No                </w:t>
            </w:r>
          </w:p>
        </w:tc>
      </w:tr>
      <w:tr w:rsidR="00495B3B" w:rsidRPr="00495B3B" w14:paraId="4352AE4A" w14:textId="77777777" w:rsidTr="14569955">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5AEA08B5" w:rsidR="00495B3B" w:rsidRPr="000772F4" w:rsidRDefault="00B46CA4" w:rsidP="00495B3B">
            <w:pPr>
              <w:tabs>
                <w:tab w:val="left" w:pos="469"/>
                <w:tab w:val="left" w:pos="1189"/>
              </w:tabs>
              <w:spacing w:before="0" w:after="0"/>
              <w:ind w:left="57" w:right="-450"/>
              <w:rPr>
                <w:rFonts w:ascii="Arial" w:hAnsi="Arial" w:cs="Arial"/>
                <w:szCs w:val="22"/>
              </w:rPr>
            </w:pPr>
            <w:r w:rsidRPr="000772F4">
              <w:rPr>
                <w:rFonts w:ascii="Arial" w:hAnsi="Arial" w:cs="Arial"/>
                <w:szCs w:val="22"/>
              </w:rPr>
              <w:t>Manager, Data Centre</w:t>
            </w:r>
            <w:r w:rsidR="008D234C" w:rsidRPr="000772F4">
              <w:rPr>
                <w:rFonts w:ascii="Arial" w:hAnsi="Arial" w:cs="Arial"/>
                <w:szCs w:val="22"/>
              </w:rPr>
              <w:t>s</w:t>
            </w:r>
            <w:r w:rsidRPr="000772F4">
              <w:rPr>
                <w:rFonts w:ascii="Arial" w:hAnsi="Arial" w:cs="Arial"/>
                <w:szCs w:val="22"/>
              </w:rPr>
              <w:t xml:space="preserve"> Policy</w:t>
            </w:r>
            <w:r w:rsidR="00495B3B" w:rsidRPr="000772F4">
              <w:rPr>
                <w:rFonts w:ascii="Arial" w:hAnsi="Arial" w:cs="Arial"/>
                <w:szCs w:val="22"/>
              </w:rPr>
              <w:tab/>
            </w:r>
          </w:p>
        </w:tc>
      </w:tr>
      <w:tr w:rsidR="00495B3B" w:rsidRPr="00495B3B" w14:paraId="35F6D00F" w14:textId="77777777" w:rsidTr="14569955">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147ECADC" w:rsidR="00495B3B" w:rsidRPr="000772F4" w:rsidRDefault="00495B3B" w:rsidP="00495B3B">
            <w:pPr>
              <w:tabs>
                <w:tab w:val="left" w:pos="469"/>
                <w:tab w:val="left" w:pos="1189"/>
              </w:tabs>
              <w:spacing w:before="0" w:after="0"/>
              <w:ind w:left="57" w:right="-450"/>
              <w:rPr>
                <w:rFonts w:ascii="Arial" w:hAnsi="Arial" w:cs="Arial"/>
                <w:szCs w:val="22"/>
              </w:rPr>
            </w:pPr>
            <w:r w:rsidRPr="000772F4">
              <w:rPr>
                <w:rFonts w:ascii="Arial" w:hAnsi="Arial" w:cs="Arial"/>
                <w:szCs w:val="22"/>
              </w:rPr>
              <w:fldChar w:fldCharType="begin">
                <w:ffData>
                  <w:name w:val=""/>
                  <w:enabled/>
                  <w:calcOnExit w:val="0"/>
                  <w:checkBox>
                    <w:size w:val="26"/>
                    <w:default w:val="0"/>
                    <w:checked w:val="0"/>
                  </w:checkBox>
                </w:ffData>
              </w:fldChar>
            </w:r>
            <w:r w:rsidRPr="000772F4">
              <w:rPr>
                <w:rFonts w:ascii="Arial" w:hAnsi="Arial" w:cs="Arial"/>
                <w:szCs w:val="22"/>
              </w:rPr>
              <w:instrText xml:space="preserve"> FORMCHECKBOX </w:instrText>
            </w:r>
            <w:r w:rsidRPr="000772F4">
              <w:rPr>
                <w:rFonts w:ascii="Arial" w:hAnsi="Arial" w:cs="Arial"/>
                <w:szCs w:val="22"/>
              </w:rPr>
            </w:r>
            <w:r w:rsidRPr="000772F4">
              <w:rPr>
                <w:rFonts w:ascii="Arial" w:hAnsi="Arial" w:cs="Arial"/>
                <w:szCs w:val="22"/>
              </w:rPr>
              <w:fldChar w:fldCharType="separate"/>
            </w:r>
            <w:r w:rsidRPr="000772F4">
              <w:rPr>
                <w:rFonts w:ascii="Arial" w:hAnsi="Arial" w:cs="Arial"/>
                <w:szCs w:val="22"/>
              </w:rPr>
              <w:fldChar w:fldCharType="end"/>
            </w:r>
            <w:r w:rsidRPr="000772F4">
              <w:rPr>
                <w:rFonts w:ascii="Arial" w:hAnsi="Arial" w:cs="Arial"/>
                <w:szCs w:val="22"/>
              </w:rPr>
              <w:tab/>
              <w:t>Yes</w:t>
            </w:r>
            <w:r w:rsidRPr="000772F4">
              <w:rPr>
                <w:rFonts w:ascii="Arial" w:hAnsi="Arial" w:cs="Arial"/>
                <w:szCs w:val="22"/>
              </w:rPr>
              <w:tab/>
            </w:r>
            <w:r w:rsidR="00B46CA4" w:rsidRPr="000772F4">
              <w:rPr>
                <w:rFonts w:ascii="Arial" w:hAnsi="Arial" w:cs="Arial"/>
                <w:szCs w:val="22"/>
              </w:rPr>
              <w:fldChar w:fldCharType="begin">
                <w:ffData>
                  <w:name w:val=""/>
                  <w:enabled/>
                  <w:calcOnExit w:val="0"/>
                  <w:checkBox>
                    <w:size w:val="26"/>
                    <w:default w:val="1"/>
                  </w:checkBox>
                </w:ffData>
              </w:fldChar>
            </w:r>
            <w:r w:rsidR="00B46CA4" w:rsidRPr="000772F4">
              <w:rPr>
                <w:rFonts w:ascii="Arial" w:hAnsi="Arial" w:cs="Arial"/>
                <w:szCs w:val="22"/>
              </w:rPr>
              <w:instrText xml:space="preserve"> FORMCHECKBOX </w:instrText>
            </w:r>
            <w:r w:rsidR="00B46CA4" w:rsidRPr="000772F4">
              <w:rPr>
                <w:rFonts w:ascii="Arial" w:hAnsi="Arial" w:cs="Arial"/>
                <w:szCs w:val="22"/>
              </w:rPr>
            </w:r>
            <w:r w:rsidR="00B46CA4" w:rsidRPr="000772F4">
              <w:rPr>
                <w:rFonts w:ascii="Arial" w:hAnsi="Arial" w:cs="Arial"/>
                <w:szCs w:val="22"/>
              </w:rPr>
              <w:fldChar w:fldCharType="separate"/>
            </w:r>
            <w:r w:rsidR="00B46CA4" w:rsidRPr="000772F4">
              <w:rPr>
                <w:rFonts w:ascii="Arial" w:hAnsi="Arial" w:cs="Arial"/>
                <w:szCs w:val="22"/>
              </w:rPr>
              <w:fldChar w:fldCharType="end"/>
            </w:r>
            <w:r w:rsidRPr="000772F4">
              <w:rPr>
                <w:rFonts w:ascii="Arial" w:hAnsi="Arial" w:cs="Arial"/>
                <w:szCs w:val="22"/>
              </w:rPr>
              <w:t xml:space="preserve">  No                If yes, how many?</w:t>
            </w:r>
          </w:p>
        </w:tc>
      </w:tr>
      <w:tr w:rsidR="00495B3B" w:rsidRPr="00495B3B" w14:paraId="70C7CF88" w14:textId="77777777" w:rsidTr="14569955">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28F9870" w14:textId="2260B634" w:rsidR="008D234C" w:rsidRPr="000772F4" w:rsidRDefault="00B46CA4" w:rsidP="00495B3B">
            <w:pPr>
              <w:spacing w:before="0" w:after="0"/>
              <w:ind w:left="57" w:right="-450"/>
              <w:rPr>
                <w:rFonts w:ascii="Arial" w:hAnsi="Arial" w:cs="Arial"/>
                <w:szCs w:val="22"/>
              </w:rPr>
            </w:pPr>
            <w:r w:rsidRPr="000772F4">
              <w:rPr>
                <w:rFonts w:ascii="Arial" w:hAnsi="Arial" w:cs="Arial"/>
                <w:szCs w:val="22"/>
              </w:rPr>
              <w:t xml:space="preserve">Roxanne Conquest, Manager, </w:t>
            </w:r>
            <w:r w:rsidR="00870F86" w:rsidRPr="000772F4">
              <w:rPr>
                <w:rFonts w:ascii="Arial" w:hAnsi="Arial" w:cs="Arial"/>
                <w:szCs w:val="22"/>
              </w:rPr>
              <w:t xml:space="preserve">Large Load </w:t>
            </w:r>
            <w:r w:rsidRPr="000772F4">
              <w:rPr>
                <w:rFonts w:ascii="Arial" w:hAnsi="Arial" w:cs="Arial"/>
                <w:szCs w:val="22"/>
              </w:rPr>
              <w:t>Policy</w:t>
            </w:r>
            <w:r w:rsidR="000772F4" w:rsidRPr="000772F4">
              <w:rPr>
                <w:rFonts w:ascii="Arial" w:hAnsi="Arial" w:cs="Arial"/>
                <w:szCs w:val="22"/>
              </w:rPr>
              <w:t xml:space="preserve"> </w:t>
            </w:r>
          </w:p>
          <w:p w14:paraId="723EDD97" w14:textId="78174D7E" w:rsidR="00495B3B" w:rsidRPr="000772F4" w:rsidRDefault="008D234C" w:rsidP="00495B3B">
            <w:pPr>
              <w:spacing w:before="0" w:after="0"/>
              <w:ind w:left="57" w:right="-450"/>
              <w:rPr>
                <w:rFonts w:ascii="Arial" w:hAnsi="Arial" w:cs="Arial"/>
                <w:szCs w:val="22"/>
              </w:rPr>
            </w:pPr>
            <w:r w:rsidRPr="000772F4">
              <w:rPr>
                <w:rFonts w:ascii="Arial" w:hAnsi="Arial" w:cs="Arial"/>
                <w:b/>
                <w:bCs/>
                <w:szCs w:val="22"/>
              </w:rPr>
              <w:t>E:</w:t>
            </w:r>
            <w:r w:rsidRPr="000772F4">
              <w:rPr>
                <w:rFonts w:ascii="Arial" w:hAnsi="Arial" w:cs="Arial"/>
                <w:szCs w:val="22"/>
              </w:rPr>
              <w:t xml:space="preserve"> </w:t>
            </w:r>
            <w:hyperlink r:id="rId25" w:history="1">
              <w:r w:rsidRPr="000772F4">
                <w:rPr>
                  <w:rStyle w:val="Hyperlink"/>
                  <w:rFonts w:ascii="Arial" w:hAnsi="Arial" w:cs="Arial"/>
                  <w:color w:val="auto"/>
                  <w:szCs w:val="22"/>
                </w:rPr>
                <w:t>roxanne.conquest@deeca.vic.gov.au</w:t>
              </w:r>
            </w:hyperlink>
            <w:r w:rsidR="00B46CA4" w:rsidRPr="000772F4">
              <w:rPr>
                <w:rFonts w:ascii="Arial" w:hAnsi="Arial" w:cs="Arial"/>
                <w:szCs w:val="22"/>
              </w:rPr>
              <w:t xml:space="preserve">; or </w:t>
            </w:r>
            <w:r w:rsidRPr="000772F4">
              <w:rPr>
                <w:rFonts w:ascii="Arial" w:hAnsi="Arial" w:cs="Arial"/>
                <w:b/>
                <w:bCs/>
                <w:szCs w:val="22"/>
              </w:rPr>
              <w:t>PH:</w:t>
            </w:r>
            <w:r w:rsidRPr="000772F4">
              <w:rPr>
                <w:rFonts w:ascii="Arial" w:hAnsi="Arial" w:cs="Arial"/>
                <w:szCs w:val="22"/>
              </w:rPr>
              <w:t xml:space="preserve"> </w:t>
            </w:r>
            <w:r w:rsidR="00B46CA4" w:rsidRPr="000772F4">
              <w:rPr>
                <w:rFonts w:ascii="Arial" w:hAnsi="Arial" w:cs="Arial"/>
                <w:szCs w:val="22"/>
              </w:rPr>
              <w:t>03 8508 1328</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80E9E70" w14:textId="0A531672" w:rsidR="00C33F0A" w:rsidRPr="00135465" w:rsidRDefault="00B46CA4" w:rsidP="00AA1E4A">
      <w:pPr>
        <w:rPr>
          <w:rFonts w:ascii="Arial" w:hAnsi="Arial" w:cs="Arial"/>
          <w:color w:val="1A1A1A"/>
        </w:rPr>
      </w:pPr>
      <w:r w:rsidRPr="219B4AE9">
        <w:rPr>
          <w:rFonts w:ascii="Arial" w:hAnsi="Arial" w:cs="Arial"/>
          <w:color w:val="1A1A1A"/>
        </w:rPr>
        <w:t xml:space="preserve">The Senior Policy Officer </w:t>
      </w:r>
      <w:r w:rsidRPr="00135465">
        <w:rPr>
          <w:rFonts w:ascii="Arial" w:hAnsi="Arial" w:cs="Arial"/>
          <w:color w:val="1A1A1A"/>
        </w:rPr>
        <w:t>role</w:t>
      </w:r>
      <w:r w:rsidR="0094398C" w:rsidRPr="00135465">
        <w:rPr>
          <w:rFonts w:ascii="Arial" w:hAnsi="Arial" w:cs="Arial"/>
          <w:color w:val="1A1A1A"/>
        </w:rPr>
        <w:t xml:space="preserve"> </w:t>
      </w:r>
      <w:r w:rsidRPr="00135465">
        <w:rPr>
          <w:rFonts w:ascii="Arial" w:hAnsi="Arial" w:cs="Arial"/>
          <w:color w:val="1A1A1A"/>
        </w:rPr>
        <w:t xml:space="preserve">is responsible for </w:t>
      </w:r>
      <w:r w:rsidR="00A936DB" w:rsidRPr="00135465">
        <w:rPr>
          <w:rFonts w:ascii="Arial" w:hAnsi="Arial" w:cs="Arial"/>
          <w:color w:val="1A1A1A"/>
        </w:rPr>
        <w:t>delivering</w:t>
      </w:r>
      <w:r w:rsidR="00306B27" w:rsidRPr="00135465">
        <w:rPr>
          <w:rFonts w:ascii="Arial" w:hAnsi="Arial" w:cs="Arial"/>
          <w:color w:val="1A1A1A"/>
        </w:rPr>
        <w:t xml:space="preserve"> </w:t>
      </w:r>
      <w:r w:rsidRPr="00135465">
        <w:rPr>
          <w:rFonts w:ascii="Arial" w:hAnsi="Arial" w:cs="Arial"/>
          <w:color w:val="1A1A1A"/>
        </w:rPr>
        <w:t xml:space="preserve">strategic policy advice </w:t>
      </w:r>
      <w:r w:rsidR="00C33F0A" w:rsidRPr="00135465">
        <w:rPr>
          <w:rFonts w:ascii="Arial" w:hAnsi="Arial" w:cs="Arial"/>
          <w:color w:val="1A1A1A"/>
        </w:rPr>
        <w:t>that supports Victoria</w:t>
      </w:r>
      <w:r w:rsidR="003C2409" w:rsidRPr="00135465">
        <w:rPr>
          <w:rFonts w:ascii="Arial" w:hAnsi="Arial" w:cs="Arial"/>
          <w:color w:val="1A1A1A"/>
        </w:rPr>
        <w:t>’s</w:t>
      </w:r>
      <w:r w:rsidR="00C33F0A" w:rsidRPr="00135465">
        <w:rPr>
          <w:rFonts w:ascii="Arial" w:hAnsi="Arial" w:cs="Arial"/>
          <w:color w:val="1A1A1A"/>
        </w:rPr>
        <w:t xml:space="preserve"> growth in </w:t>
      </w:r>
      <w:r w:rsidR="00870F86">
        <w:rPr>
          <w:rFonts w:ascii="Arial" w:hAnsi="Arial" w:cs="Arial"/>
          <w:color w:val="1A1A1A"/>
        </w:rPr>
        <w:t xml:space="preserve">new large </w:t>
      </w:r>
      <w:r w:rsidR="00223C69">
        <w:rPr>
          <w:rFonts w:ascii="Arial" w:hAnsi="Arial" w:cs="Arial"/>
          <w:color w:val="1A1A1A"/>
        </w:rPr>
        <w:t>in</w:t>
      </w:r>
      <w:r w:rsidR="00870F86">
        <w:rPr>
          <w:rFonts w:ascii="Arial" w:hAnsi="Arial" w:cs="Arial"/>
          <w:color w:val="1A1A1A"/>
        </w:rPr>
        <w:t xml:space="preserve"> </w:t>
      </w:r>
      <w:r w:rsidR="00C33F0A" w:rsidRPr="00135465">
        <w:rPr>
          <w:rFonts w:ascii="Arial" w:hAnsi="Arial" w:cs="Arial"/>
          <w:color w:val="1A1A1A"/>
        </w:rPr>
        <w:t xml:space="preserve">data centres, whilst managing </w:t>
      </w:r>
      <w:r w:rsidR="003C2409" w:rsidRPr="00135465">
        <w:rPr>
          <w:rFonts w:ascii="Arial" w:hAnsi="Arial" w:cs="Arial"/>
          <w:color w:val="1A1A1A"/>
        </w:rPr>
        <w:t>implications</w:t>
      </w:r>
      <w:r w:rsidR="00C33F0A" w:rsidRPr="00135465">
        <w:rPr>
          <w:rFonts w:ascii="Arial" w:hAnsi="Arial" w:cs="Arial"/>
          <w:color w:val="1A1A1A"/>
        </w:rPr>
        <w:t xml:space="preserve"> related to energy systems and electricity load growth</w:t>
      </w:r>
      <w:r w:rsidRPr="00135465">
        <w:rPr>
          <w:rFonts w:ascii="Arial" w:hAnsi="Arial" w:cs="Arial"/>
          <w:color w:val="1A1A1A"/>
        </w:rPr>
        <w:t xml:space="preserve">. </w:t>
      </w:r>
      <w:r w:rsidR="008D234C" w:rsidRPr="00135465">
        <w:rPr>
          <w:rFonts w:ascii="Arial" w:hAnsi="Arial" w:cs="Arial"/>
          <w:color w:val="1A1A1A"/>
        </w:rPr>
        <w:t>Working closely with</w:t>
      </w:r>
      <w:r w:rsidR="00C33F0A" w:rsidRPr="00135465">
        <w:rPr>
          <w:rFonts w:ascii="Arial" w:hAnsi="Arial" w:cs="Arial"/>
          <w:color w:val="1A1A1A"/>
        </w:rPr>
        <w:t xml:space="preserve"> </w:t>
      </w:r>
      <w:r w:rsidR="008D234C" w:rsidRPr="00135465">
        <w:rPr>
          <w:rFonts w:ascii="Arial" w:hAnsi="Arial" w:cs="Arial"/>
          <w:color w:val="1A1A1A"/>
        </w:rPr>
        <w:t xml:space="preserve">colleagues and </w:t>
      </w:r>
      <w:r w:rsidR="00C33F0A" w:rsidRPr="00135465">
        <w:rPr>
          <w:rFonts w:ascii="Arial" w:hAnsi="Arial" w:cs="Arial"/>
          <w:color w:val="1A1A1A"/>
        </w:rPr>
        <w:t xml:space="preserve">internal/external </w:t>
      </w:r>
      <w:r w:rsidR="008D234C" w:rsidRPr="00135465">
        <w:rPr>
          <w:rFonts w:ascii="Arial" w:hAnsi="Arial" w:cs="Arial"/>
          <w:color w:val="1A1A1A"/>
        </w:rPr>
        <w:t xml:space="preserve">stakeholders, the Senior Policy Officer </w:t>
      </w:r>
      <w:r w:rsidR="00306B27" w:rsidRPr="00135465">
        <w:rPr>
          <w:rFonts w:ascii="Arial" w:hAnsi="Arial" w:cs="Arial"/>
          <w:color w:val="1A1A1A"/>
        </w:rPr>
        <w:t xml:space="preserve">will </w:t>
      </w:r>
      <w:r w:rsidR="00C33F0A" w:rsidRPr="00135465">
        <w:rPr>
          <w:rFonts w:ascii="Arial" w:hAnsi="Arial" w:cs="Arial"/>
          <w:color w:val="1A1A1A"/>
        </w:rPr>
        <w:t>use their research, analysis, and policy development skills to scan for emerging directions and challenges and provide advice</w:t>
      </w:r>
      <w:r w:rsidR="003C2409" w:rsidRPr="00135465">
        <w:rPr>
          <w:rFonts w:ascii="Arial" w:hAnsi="Arial" w:cs="Arial"/>
          <w:color w:val="1A1A1A"/>
        </w:rPr>
        <w:t xml:space="preserve"> </w:t>
      </w:r>
      <w:r w:rsidR="00C33F0A" w:rsidRPr="00135465">
        <w:rPr>
          <w:rFonts w:ascii="Arial" w:hAnsi="Arial" w:cs="Arial"/>
          <w:color w:val="1A1A1A"/>
        </w:rPr>
        <w:t>to address in the short, medium, and long term.</w:t>
      </w:r>
    </w:p>
    <w:p w14:paraId="317DDF4C" w14:textId="06DBB014" w:rsidR="00AA1E4A" w:rsidRPr="00135465" w:rsidRDefault="005A0730" w:rsidP="005A0730">
      <w:pPr>
        <w:rPr>
          <w:rFonts w:ascii="Arial" w:hAnsi="Arial" w:cs="Arial"/>
          <w:color w:val="1A1A1A"/>
        </w:rPr>
      </w:pPr>
      <w:r w:rsidRPr="00135465">
        <w:rPr>
          <w:rFonts w:ascii="Arial" w:hAnsi="Arial" w:cs="Arial"/>
          <w:color w:val="1A1A1A"/>
        </w:rPr>
        <w:t>The work of the Senior Policy Officer role</w:t>
      </w:r>
      <w:r w:rsidR="0094398C" w:rsidRPr="00135465">
        <w:rPr>
          <w:rFonts w:ascii="Arial" w:hAnsi="Arial" w:cs="Arial"/>
          <w:color w:val="1A1A1A"/>
        </w:rPr>
        <w:t xml:space="preserve"> </w:t>
      </w:r>
      <w:r w:rsidRPr="00135465">
        <w:rPr>
          <w:rFonts w:ascii="Arial" w:hAnsi="Arial" w:cs="Arial"/>
          <w:color w:val="1A1A1A"/>
        </w:rPr>
        <w:t xml:space="preserve">will inform the development of </w:t>
      </w:r>
      <w:r w:rsidR="00306B27" w:rsidRPr="00135465">
        <w:rPr>
          <w:rFonts w:ascii="Arial" w:hAnsi="Arial" w:cs="Arial"/>
          <w:color w:val="1A1A1A"/>
        </w:rPr>
        <w:t xml:space="preserve">legal and regulatory mechanisms, strategies and tools which ensure data centre growth </w:t>
      </w:r>
      <w:r w:rsidRPr="00135465">
        <w:rPr>
          <w:rFonts w:ascii="Arial" w:hAnsi="Arial" w:cs="Arial"/>
          <w:color w:val="1A1A1A"/>
        </w:rPr>
        <w:t>is</w:t>
      </w:r>
      <w:r w:rsidR="00306B27" w:rsidRPr="00135465">
        <w:rPr>
          <w:rFonts w:ascii="Arial" w:hAnsi="Arial" w:cs="Arial"/>
          <w:color w:val="1A1A1A"/>
        </w:rPr>
        <w:t xml:space="preserve"> planned, responsible and sustainable.</w:t>
      </w:r>
    </w:p>
    <w:p w14:paraId="367F9EB3" w14:textId="1C61EC7D" w:rsidR="00306B27" w:rsidRPr="00135465" w:rsidRDefault="00141DE7" w:rsidP="00AA1E4A">
      <w:pPr>
        <w:spacing w:before="60" w:after="60" w:line="220" w:lineRule="atLeast"/>
        <w:ind w:right="113"/>
        <w:rPr>
          <w:rFonts w:ascii="Arial" w:hAnsi="Arial" w:cs="Arial"/>
          <w:color w:val="1A1A1A"/>
        </w:rPr>
      </w:pPr>
      <w:r w:rsidRPr="00135465">
        <w:rPr>
          <w:rFonts w:ascii="Arial" w:hAnsi="Arial" w:cs="Arial"/>
          <w:color w:val="1A1A1A"/>
        </w:rPr>
        <w:t>T</w:t>
      </w:r>
      <w:r w:rsidR="00306B27" w:rsidRPr="00135465">
        <w:rPr>
          <w:rFonts w:ascii="Arial" w:hAnsi="Arial" w:cs="Arial"/>
          <w:color w:val="1A1A1A"/>
        </w:rPr>
        <w:t>he Senior P</w:t>
      </w:r>
      <w:r w:rsidR="005A0730" w:rsidRPr="00135465">
        <w:rPr>
          <w:rFonts w:ascii="Arial" w:hAnsi="Arial" w:cs="Arial"/>
          <w:color w:val="1A1A1A"/>
        </w:rPr>
        <w:t xml:space="preserve">olicy </w:t>
      </w:r>
      <w:r w:rsidR="00306B27" w:rsidRPr="00135465">
        <w:rPr>
          <w:rFonts w:ascii="Arial" w:hAnsi="Arial" w:cs="Arial"/>
          <w:color w:val="1A1A1A"/>
        </w:rPr>
        <w:t xml:space="preserve">Officer </w:t>
      </w:r>
      <w:r w:rsidRPr="00135465">
        <w:rPr>
          <w:rFonts w:ascii="Arial" w:hAnsi="Arial" w:cs="Arial"/>
          <w:color w:val="1A1A1A"/>
        </w:rPr>
        <w:t>role</w:t>
      </w:r>
      <w:r w:rsidR="0094398C" w:rsidRPr="00135465">
        <w:rPr>
          <w:rFonts w:ascii="Arial" w:hAnsi="Arial" w:cs="Arial"/>
          <w:color w:val="1A1A1A"/>
        </w:rPr>
        <w:t xml:space="preserve"> </w:t>
      </w:r>
      <w:r w:rsidR="00306B27" w:rsidRPr="00135465">
        <w:rPr>
          <w:rFonts w:ascii="Arial" w:hAnsi="Arial" w:cs="Arial"/>
          <w:color w:val="1A1A1A"/>
        </w:rPr>
        <w:t>will</w:t>
      </w:r>
      <w:r w:rsidRPr="00135465">
        <w:rPr>
          <w:rFonts w:ascii="Arial" w:hAnsi="Arial" w:cs="Arial"/>
          <w:color w:val="1A1A1A"/>
        </w:rPr>
        <w:t xml:space="preserve"> also</w:t>
      </w:r>
      <w:r w:rsidR="005A0730" w:rsidRPr="00135465">
        <w:rPr>
          <w:rFonts w:ascii="Arial" w:hAnsi="Arial" w:cs="Arial"/>
          <w:color w:val="1A1A1A"/>
        </w:rPr>
        <w:t xml:space="preserve"> </w:t>
      </w:r>
      <w:r w:rsidR="00306B27" w:rsidRPr="00135465">
        <w:rPr>
          <w:rFonts w:ascii="Arial" w:hAnsi="Arial" w:cs="Arial"/>
          <w:color w:val="1A1A1A"/>
        </w:rPr>
        <w:t xml:space="preserve">play a key </w:t>
      </w:r>
      <w:r w:rsidR="0094398C" w:rsidRPr="00135465">
        <w:rPr>
          <w:rFonts w:ascii="Arial" w:hAnsi="Arial" w:cs="Arial"/>
          <w:color w:val="1A1A1A"/>
        </w:rPr>
        <w:t xml:space="preserve">part </w:t>
      </w:r>
      <w:r w:rsidR="00306B27" w:rsidRPr="00135465">
        <w:rPr>
          <w:rFonts w:ascii="Arial" w:hAnsi="Arial" w:cs="Arial"/>
          <w:color w:val="1A1A1A"/>
        </w:rPr>
        <w:t xml:space="preserve">in </w:t>
      </w:r>
      <w:r w:rsidR="00A34546" w:rsidRPr="00135465">
        <w:rPr>
          <w:rFonts w:ascii="Arial" w:hAnsi="Arial" w:cs="Arial"/>
          <w:color w:val="1A1A1A"/>
        </w:rPr>
        <w:t xml:space="preserve">managing </w:t>
      </w:r>
      <w:r w:rsidR="00306B27" w:rsidRPr="00135465">
        <w:rPr>
          <w:rFonts w:ascii="Arial" w:hAnsi="Arial" w:cs="Arial"/>
          <w:color w:val="1A1A1A"/>
        </w:rPr>
        <w:t>governance processes</w:t>
      </w:r>
      <w:r w:rsidR="008D234C" w:rsidRPr="00135465">
        <w:rPr>
          <w:rFonts w:ascii="Arial" w:hAnsi="Arial" w:cs="Arial"/>
          <w:color w:val="1A1A1A"/>
        </w:rPr>
        <w:t>,</w:t>
      </w:r>
      <w:r w:rsidR="005A0730" w:rsidRPr="00135465">
        <w:rPr>
          <w:rFonts w:ascii="Arial" w:hAnsi="Arial" w:cs="Arial"/>
          <w:color w:val="1A1A1A"/>
        </w:rPr>
        <w:t xml:space="preserve"> </w:t>
      </w:r>
      <w:r w:rsidR="008D234C" w:rsidRPr="00135465">
        <w:rPr>
          <w:rFonts w:ascii="Arial" w:hAnsi="Arial" w:cs="Arial"/>
          <w:color w:val="1A1A1A"/>
        </w:rPr>
        <w:t>preparing ministerial briefings</w:t>
      </w:r>
      <w:r w:rsidR="005A0730" w:rsidRPr="00135465">
        <w:rPr>
          <w:rFonts w:ascii="Arial" w:hAnsi="Arial" w:cs="Arial"/>
          <w:color w:val="1A1A1A"/>
        </w:rPr>
        <w:t>, meeting materials</w:t>
      </w:r>
      <w:r w:rsidR="008D234C" w:rsidRPr="00135465">
        <w:rPr>
          <w:rFonts w:ascii="Arial" w:hAnsi="Arial" w:cs="Arial"/>
          <w:color w:val="1A1A1A"/>
        </w:rPr>
        <w:t xml:space="preserve"> and other </w:t>
      </w:r>
      <w:r w:rsidR="005A0730" w:rsidRPr="00135465">
        <w:rPr>
          <w:rFonts w:ascii="Arial" w:hAnsi="Arial" w:cs="Arial"/>
          <w:color w:val="1A1A1A"/>
        </w:rPr>
        <w:t xml:space="preserve">government </w:t>
      </w:r>
      <w:r w:rsidR="008D234C" w:rsidRPr="00135465">
        <w:rPr>
          <w:rFonts w:ascii="Arial" w:hAnsi="Arial" w:cs="Arial"/>
          <w:color w:val="1A1A1A"/>
        </w:rPr>
        <w:t>document</w:t>
      </w:r>
      <w:r w:rsidR="005A0730" w:rsidRPr="00135465">
        <w:rPr>
          <w:rFonts w:ascii="Arial" w:hAnsi="Arial" w:cs="Arial"/>
          <w:color w:val="1A1A1A"/>
        </w:rPr>
        <w:t xml:space="preserve">s </w:t>
      </w:r>
      <w:r w:rsidR="00A34546" w:rsidRPr="00135465">
        <w:rPr>
          <w:rFonts w:ascii="Arial" w:hAnsi="Arial" w:cs="Arial"/>
          <w:color w:val="1A1A1A"/>
        </w:rPr>
        <w:t>-</w:t>
      </w:r>
      <w:r w:rsidR="005A0730" w:rsidRPr="00135465">
        <w:rPr>
          <w:rFonts w:ascii="Arial" w:hAnsi="Arial" w:cs="Arial"/>
          <w:color w:val="1A1A1A"/>
        </w:rPr>
        <w:t xml:space="preserve"> </w:t>
      </w:r>
      <w:r w:rsidR="003C2409" w:rsidRPr="00135465">
        <w:rPr>
          <w:rFonts w:ascii="Arial" w:hAnsi="Arial" w:cs="Arial"/>
          <w:color w:val="1A1A1A"/>
        </w:rPr>
        <w:t>to</w:t>
      </w:r>
      <w:r w:rsidR="005A0730" w:rsidRPr="00135465">
        <w:rPr>
          <w:rFonts w:ascii="Arial" w:hAnsi="Arial" w:cs="Arial"/>
          <w:color w:val="1A1A1A"/>
        </w:rPr>
        <w:t xml:space="preserve"> shape policy direction and </w:t>
      </w:r>
      <w:r w:rsidRPr="00135465">
        <w:rPr>
          <w:rFonts w:ascii="Arial" w:hAnsi="Arial" w:cs="Arial"/>
          <w:color w:val="1A1A1A"/>
        </w:rPr>
        <w:t>advise</w:t>
      </w:r>
      <w:r w:rsidR="00306B27" w:rsidRPr="00135465">
        <w:rPr>
          <w:rFonts w:ascii="Arial" w:hAnsi="Arial" w:cs="Arial"/>
          <w:color w:val="1A1A1A"/>
        </w:rPr>
        <w:t xml:space="preserve"> government and senior management</w:t>
      </w:r>
      <w:r w:rsidR="00270BA3" w:rsidRPr="00135465">
        <w:rPr>
          <w:rFonts w:ascii="Arial" w:hAnsi="Arial" w:cs="Arial"/>
          <w:color w:val="1A1A1A"/>
        </w:rPr>
        <w:t xml:space="preserve"> on </w:t>
      </w:r>
      <w:r w:rsidR="003C2409" w:rsidRPr="00135465">
        <w:rPr>
          <w:rFonts w:ascii="Arial" w:hAnsi="Arial" w:cs="Arial"/>
          <w:color w:val="1A1A1A"/>
        </w:rPr>
        <w:t>suitable pathways forward</w:t>
      </w:r>
      <w:r w:rsidR="00306B27" w:rsidRPr="00135465">
        <w:rPr>
          <w:rFonts w:ascii="Arial" w:hAnsi="Arial" w:cs="Arial"/>
          <w:color w:val="1A1A1A"/>
        </w:rPr>
        <w:t>.</w:t>
      </w:r>
    </w:p>
    <w:p w14:paraId="1B3F576A" w14:textId="77777777" w:rsidR="00495B3B" w:rsidRPr="00135465" w:rsidRDefault="00495B3B" w:rsidP="00495B3B">
      <w:pPr>
        <w:keepNext/>
        <w:spacing w:line="240" w:lineRule="auto"/>
        <w:rPr>
          <w:rFonts w:ascii="Arial" w:hAnsi="Arial" w:cs="Arial"/>
          <w:bCs/>
          <w:i/>
          <w:color w:val="442D97"/>
          <w:sz w:val="30"/>
          <w:szCs w:val="22"/>
        </w:rPr>
      </w:pPr>
      <w:r w:rsidRPr="00135465">
        <w:rPr>
          <w:rFonts w:ascii="Arial" w:hAnsi="Arial" w:cs="Arial"/>
          <w:bCs/>
          <w:color w:val="442D97"/>
          <w:sz w:val="28"/>
          <w:szCs w:val="28"/>
          <w:lang w:eastAsia="zh-CN"/>
        </w:rPr>
        <w:t>Context</w:t>
      </w:r>
    </w:p>
    <w:p w14:paraId="35ED19EE" w14:textId="77777777" w:rsidR="00A9322E" w:rsidRPr="00135465" w:rsidRDefault="00A9322E" w:rsidP="00A9322E">
      <w:pPr>
        <w:keepNext/>
        <w:spacing w:line="240" w:lineRule="auto"/>
        <w:rPr>
          <w:rFonts w:ascii="Arial" w:hAnsi="Arial" w:cs="Arial"/>
          <w:i/>
          <w:noProof/>
          <w:color w:val="000000"/>
          <w:lang w:eastAsia="zh-CN"/>
        </w:rPr>
      </w:pPr>
      <w:r w:rsidRPr="00135465">
        <w:rPr>
          <w:rFonts w:ascii="Arial" w:hAnsi="Arial" w:cs="Arial"/>
          <w:i/>
          <w:noProof/>
          <w:color w:val="000000"/>
          <w:lang w:eastAsia="zh-CN"/>
        </w:rPr>
        <w:t>The Group</w:t>
      </w:r>
    </w:p>
    <w:p w14:paraId="64088F55" w14:textId="77777777" w:rsidR="00A9322E" w:rsidRPr="00135465" w:rsidRDefault="00A9322E" w:rsidP="00A9322E">
      <w:pPr>
        <w:keepNext/>
        <w:spacing w:line="240" w:lineRule="auto"/>
        <w:rPr>
          <w:rFonts w:ascii="Arial" w:hAnsi="Arial" w:cs="Arial"/>
          <w:iCs/>
          <w:noProof/>
          <w:color w:val="000000"/>
          <w:lang w:eastAsia="zh-CN"/>
        </w:rPr>
      </w:pPr>
      <w:r w:rsidRPr="00135465">
        <w:rPr>
          <w:rFonts w:ascii="Arial" w:hAnsi="Arial" w:cs="Arial"/>
          <w:iCs/>
          <w:noProof/>
          <w:color w:val="000000"/>
          <w:lang w:eastAsia="zh-CN"/>
        </w:rPr>
        <w:t xml:space="preserve">Victoria, along with the rest of the world, is in the midst of a major energy transformation, with new energy technologies, new industries, and new ways of doing things. The Victorian Government recognises this and the </w:t>
      </w:r>
      <w:r w:rsidRPr="00135465">
        <w:rPr>
          <w:rFonts w:ascii="Arial" w:hAnsi="Arial" w:cs="Arial"/>
          <w:iCs/>
          <w:noProof/>
          <w:color w:val="000000"/>
          <w:lang w:eastAsia="zh-CN"/>
        </w:rPr>
        <w:lastRenderedPageBreak/>
        <w:t>need for a modern energy system to support our economy and way of life – an energy system that is sustainable, reliable and affordable.</w:t>
      </w:r>
    </w:p>
    <w:p w14:paraId="376FA1D8" w14:textId="7068B789" w:rsidR="00A9322E" w:rsidRPr="00135465" w:rsidRDefault="00A9322E" w:rsidP="00A9322E">
      <w:pPr>
        <w:keepNext/>
        <w:spacing w:line="240" w:lineRule="auto"/>
        <w:rPr>
          <w:rFonts w:ascii="Arial" w:hAnsi="Arial" w:cs="Arial"/>
          <w:iCs/>
          <w:noProof/>
          <w:color w:val="000000"/>
          <w:lang w:eastAsia="zh-CN"/>
        </w:rPr>
      </w:pPr>
      <w:r w:rsidRPr="00135465">
        <w:rPr>
          <w:rFonts w:ascii="Arial" w:hAnsi="Arial" w:cs="Arial"/>
          <w:iCs/>
          <w:noProof/>
          <w:color w:val="000000"/>
          <w:lang w:eastAsia="zh-CN"/>
        </w:rPr>
        <w:t>The Energy Group plays a key role in supporting a significant transformation of the energy sector in Victoria. The Group’s primary responsibility is to support current and future energy projects, programs and reforms. The group consists of six divisions as follows:</w:t>
      </w:r>
    </w:p>
    <w:p w14:paraId="458E27F5" w14:textId="77777777" w:rsidR="00015F4F" w:rsidRPr="00135465" w:rsidRDefault="00015F4F" w:rsidP="00A031BA">
      <w:pPr>
        <w:pStyle w:val="ListParagraph"/>
        <w:numPr>
          <w:ilvl w:val="0"/>
          <w:numId w:val="17"/>
        </w:numPr>
        <w:spacing w:before="0" w:after="160" w:line="257" w:lineRule="auto"/>
        <w:jc w:val="both"/>
        <w:rPr>
          <w:rFonts w:ascii="Arial" w:eastAsia="Arial" w:hAnsi="Arial" w:cs="Arial"/>
          <w:noProof/>
        </w:rPr>
      </w:pPr>
      <w:r w:rsidRPr="00135465">
        <w:rPr>
          <w:rFonts w:ascii="Arial" w:eastAsia="Arial" w:hAnsi="Arial" w:cs="Arial"/>
          <w:noProof/>
        </w:rPr>
        <w:t>Consumer, Community and First Peoples’ Energy Transition</w:t>
      </w:r>
    </w:p>
    <w:p w14:paraId="799FCC40" w14:textId="77777777" w:rsidR="00015F4F" w:rsidRPr="00135465" w:rsidRDefault="00015F4F" w:rsidP="00A031BA">
      <w:pPr>
        <w:pStyle w:val="ListParagraph"/>
        <w:numPr>
          <w:ilvl w:val="0"/>
          <w:numId w:val="17"/>
        </w:numPr>
        <w:spacing w:before="0" w:after="160" w:line="257" w:lineRule="auto"/>
        <w:jc w:val="both"/>
      </w:pPr>
      <w:r w:rsidRPr="00135465">
        <w:rPr>
          <w:rFonts w:ascii="Arial" w:eastAsia="Arial" w:hAnsi="Arial" w:cs="Arial"/>
          <w:noProof/>
        </w:rPr>
        <w:t>Electrification, Efficiency and Safety</w:t>
      </w:r>
    </w:p>
    <w:p w14:paraId="026BA2D3" w14:textId="77777777" w:rsidR="00015F4F" w:rsidRPr="00135465" w:rsidRDefault="00015F4F" w:rsidP="00A031BA">
      <w:pPr>
        <w:pStyle w:val="ListParagraph"/>
        <w:numPr>
          <w:ilvl w:val="0"/>
          <w:numId w:val="17"/>
        </w:numPr>
        <w:spacing w:before="0" w:after="160" w:line="257" w:lineRule="auto"/>
        <w:jc w:val="both"/>
      </w:pPr>
      <w:r w:rsidRPr="00135465">
        <w:rPr>
          <w:rFonts w:ascii="Arial" w:eastAsia="Arial" w:hAnsi="Arial" w:cs="Arial"/>
          <w:noProof/>
        </w:rPr>
        <w:t>Energy Transition and Strategy</w:t>
      </w:r>
    </w:p>
    <w:p w14:paraId="76521798" w14:textId="77777777" w:rsidR="00015F4F" w:rsidRPr="00135465" w:rsidRDefault="00015F4F" w:rsidP="00A031BA">
      <w:pPr>
        <w:pStyle w:val="ListParagraph"/>
        <w:numPr>
          <w:ilvl w:val="0"/>
          <w:numId w:val="17"/>
        </w:numPr>
        <w:spacing w:before="0" w:after="160" w:line="257" w:lineRule="auto"/>
        <w:jc w:val="both"/>
        <w:rPr>
          <w:rFonts w:ascii="Arial" w:eastAsia="Arial" w:hAnsi="Arial" w:cs="Arial"/>
          <w:noProof/>
        </w:rPr>
      </w:pPr>
      <w:r w:rsidRPr="00135465">
        <w:rPr>
          <w:rFonts w:ascii="Arial" w:eastAsia="Arial" w:hAnsi="Arial" w:cs="Arial"/>
          <w:noProof/>
        </w:rPr>
        <w:t>Innovation, Commercial and Investment Attraction</w:t>
      </w:r>
    </w:p>
    <w:p w14:paraId="46602319" w14:textId="77777777" w:rsidR="00015F4F" w:rsidRPr="00135465" w:rsidRDefault="00015F4F" w:rsidP="00A031BA">
      <w:pPr>
        <w:pStyle w:val="ListParagraph"/>
        <w:numPr>
          <w:ilvl w:val="0"/>
          <w:numId w:val="17"/>
        </w:numPr>
        <w:spacing w:before="0" w:after="160" w:line="257" w:lineRule="auto"/>
        <w:jc w:val="both"/>
        <w:rPr>
          <w:rFonts w:ascii="Arial" w:eastAsia="Arial" w:hAnsi="Arial" w:cs="Arial"/>
          <w:noProof/>
        </w:rPr>
      </w:pPr>
      <w:r w:rsidRPr="00135465">
        <w:rPr>
          <w:rFonts w:ascii="Arial" w:eastAsia="Arial" w:hAnsi="Arial" w:cs="Arial"/>
          <w:noProof/>
        </w:rPr>
        <w:t>Offshore Wind Energy Victoria</w:t>
      </w:r>
    </w:p>
    <w:p w14:paraId="712F50D1" w14:textId="77777777" w:rsidR="00015F4F" w:rsidRPr="00135465" w:rsidRDefault="00015F4F" w:rsidP="00A031BA">
      <w:pPr>
        <w:pStyle w:val="ListParagraph"/>
        <w:numPr>
          <w:ilvl w:val="0"/>
          <w:numId w:val="17"/>
        </w:numPr>
        <w:spacing w:before="0" w:after="160" w:line="257" w:lineRule="auto"/>
        <w:jc w:val="both"/>
      </w:pPr>
      <w:r w:rsidRPr="00135465">
        <w:rPr>
          <w:rFonts w:ascii="Arial" w:eastAsia="Arial" w:hAnsi="Arial" w:cs="Arial"/>
          <w:noProof/>
        </w:rPr>
        <w:t xml:space="preserve">Office of the Deputy Secretary Division </w:t>
      </w:r>
    </w:p>
    <w:p w14:paraId="07E68D93" w14:textId="77777777" w:rsidR="000B4101" w:rsidRDefault="000B4101" w:rsidP="00A9322E">
      <w:pPr>
        <w:keepNext/>
        <w:spacing w:line="240" w:lineRule="auto"/>
        <w:rPr>
          <w:rFonts w:eastAsia="Arial" w:cs="Arial"/>
          <w:noProof/>
        </w:rPr>
      </w:pPr>
      <w:bookmarkStart w:id="2" w:name="_Hlk212039543"/>
    </w:p>
    <w:p w14:paraId="0F4DC2D1" w14:textId="75ACF958" w:rsidR="00A9322E" w:rsidRPr="00135465" w:rsidRDefault="00A9322E" w:rsidP="00A9322E">
      <w:pPr>
        <w:keepNext/>
        <w:spacing w:line="240" w:lineRule="auto"/>
        <w:rPr>
          <w:rFonts w:ascii="Arial" w:hAnsi="Arial" w:cs="Arial"/>
          <w:i/>
          <w:noProof/>
          <w:color w:val="000000"/>
          <w:lang w:eastAsia="zh-CN"/>
        </w:rPr>
      </w:pPr>
      <w:r w:rsidRPr="00135465">
        <w:rPr>
          <w:rFonts w:ascii="Arial" w:hAnsi="Arial" w:cs="Arial"/>
          <w:i/>
          <w:noProof/>
          <w:color w:val="000000"/>
          <w:lang w:eastAsia="zh-CN"/>
        </w:rPr>
        <w:t xml:space="preserve">The Division </w:t>
      </w:r>
    </w:p>
    <w:p w14:paraId="35378BEA" w14:textId="79E3C7E8" w:rsidR="00A9322E" w:rsidRPr="00135465" w:rsidRDefault="00ED3D7E" w:rsidP="00ED3D7E">
      <w:pPr>
        <w:keepNext/>
        <w:spacing w:line="240" w:lineRule="auto"/>
        <w:rPr>
          <w:rFonts w:ascii="Arial" w:hAnsi="Arial" w:cs="Arial"/>
          <w:iCs/>
          <w:noProof/>
          <w:color w:val="000000"/>
          <w:lang w:eastAsia="zh-CN"/>
        </w:rPr>
      </w:pPr>
      <w:r w:rsidRPr="00310BAC">
        <w:rPr>
          <w:rFonts w:ascii="Arial" w:hAnsi="Arial" w:cs="Arial"/>
          <w:iCs/>
          <w:noProof/>
          <w:color w:val="000000"/>
          <w:lang w:eastAsia="zh-CN"/>
        </w:rPr>
        <w:t xml:space="preserve">The </w:t>
      </w:r>
      <w:r w:rsidR="00310BAC" w:rsidRPr="003510B6">
        <w:rPr>
          <w:rFonts w:ascii="Arial" w:hAnsi="Arial" w:cs="Arial"/>
          <w:b/>
          <w:bCs/>
          <w:iCs/>
          <w:noProof/>
          <w:color w:val="000000"/>
          <w:lang w:eastAsia="zh-CN"/>
        </w:rPr>
        <w:t>Large Scale Energy Transition</w:t>
      </w:r>
      <w:r w:rsidRPr="00310BAC">
        <w:rPr>
          <w:rFonts w:ascii="Arial" w:hAnsi="Arial" w:cs="Arial"/>
          <w:iCs/>
          <w:noProof/>
          <w:color w:val="000000"/>
          <w:lang w:eastAsia="zh-CN"/>
        </w:rPr>
        <w:t xml:space="preserve"> Division focus is on ensuring an affordable transition to a renewable energy</w:t>
      </w:r>
      <w:r w:rsidR="00310BAC">
        <w:rPr>
          <w:rFonts w:ascii="Arial" w:hAnsi="Arial" w:cs="Arial"/>
          <w:iCs/>
          <w:noProof/>
          <w:color w:val="000000"/>
          <w:lang w:eastAsia="zh-CN"/>
        </w:rPr>
        <w:t xml:space="preserve"> </w:t>
      </w:r>
      <w:r w:rsidRPr="00310BAC">
        <w:rPr>
          <w:rFonts w:ascii="Arial" w:hAnsi="Arial" w:cs="Arial"/>
          <w:iCs/>
          <w:noProof/>
          <w:color w:val="000000"/>
          <w:lang w:eastAsia="zh-CN"/>
        </w:rPr>
        <w:t>system while ensuring reliability and system security are maintained. The Division leads government energy policy</w:t>
      </w:r>
      <w:r w:rsidR="00310BAC">
        <w:rPr>
          <w:rFonts w:ascii="Arial" w:hAnsi="Arial" w:cs="Arial"/>
          <w:iCs/>
          <w:noProof/>
          <w:color w:val="000000"/>
          <w:lang w:eastAsia="zh-CN"/>
        </w:rPr>
        <w:t xml:space="preserve"> </w:t>
      </w:r>
      <w:r w:rsidRPr="00310BAC">
        <w:rPr>
          <w:rFonts w:ascii="Arial" w:hAnsi="Arial" w:cs="Arial"/>
          <w:iCs/>
          <w:noProof/>
          <w:color w:val="000000"/>
          <w:lang w:eastAsia="zh-CN"/>
        </w:rPr>
        <w:t>development and advice on wholesale electricity and gas markets, renewable energy, integration of distributed</w:t>
      </w:r>
      <w:r w:rsidR="00310BAC">
        <w:rPr>
          <w:rFonts w:ascii="Arial" w:hAnsi="Arial" w:cs="Arial"/>
          <w:iCs/>
          <w:noProof/>
          <w:color w:val="000000"/>
          <w:lang w:eastAsia="zh-CN"/>
        </w:rPr>
        <w:t xml:space="preserve"> </w:t>
      </w:r>
      <w:r w:rsidRPr="00310BAC">
        <w:rPr>
          <w:rFonts w:ascii="Arial" w:hAnsi="Arial" w:cs="Arial"/>
          <w:iCs/>
          <w:noProof/>
          <w:color w:val="000000"/>
          <w:lang w:eastAsia="zh-CN"/>
        </w:rPr>
        <w:t>energy resources and electric vehicles into the electricity system, and transmission and distribution networks. We</w:t>
      </w:r>
      <w:r w:rsidR="00310BAC">
        <w:rPr>
          <w:rFonts w:ascii="Arial" w:hAnsi="Arial" w:cs="Arial"/>
          <w:iCs/>
          <w:noProof/>
          <w:color w:val="000000"/>
          <w:lang w:eastAsia="zh-CN"/>
        </w:rPr>
        <w:t xml:space="preserve"> </w:t>
      </w:r>
      <w:r w:rsidRPr="00310BAC">
        <w:rPr>
          <w:rFonts w:ascii="Arial" w:hAnsi="Arial" w:cs="Arial"/>
          <w:iCs/>
          <w:noProof/>
          <w:color w:val="000000"/>
          <w:lang w:eastAsia="zh-CN"/>
        </w:rPr>
        <w:t>lead the Victorian Government contribution to national energy policy and stewardship of the laws and rules</w:t>
      </w:r>
      <w:r w:rsidR="00310BAC">
        <w:rPr>
          <w:rFonts w:ascii="Arial" w:hAnsi="Arial" w:cs="Arial"/>
          <w:iCs/>
          <w:noProof/>
          <w:color w:val="000000"/>
          <w:lang w:eastAsia="zh-CN"/>
        </w:rPr>
        <w:t xml:space="preserve"> g</w:t>
      </w:r>
      <w:r w:rsidRPr="00310BAC">
        <w:rPr>
          <w:rFonts w:ascii="Arial" w:hAnsi="Arial" w:cs="Arial"/>
          <w:iCs/>
          <w:noProof/>
          <w:color w:val="000000"/>
          <w:lang w:eastAsia="zh-CN"/>
        </w:rPr>
        <w:t>overning</w:t>
      </w:r>
      <w:r w:rsidR="00310BAC">
        <w:rPr>
          <w:rFonts w:ascii="Arial" w:hAnsi="Arial" w:cs="Arial"/>
          <w:iCs/>
          <w:noProof/>
          <w:color w:val="000000"/>
          <w:lang w:eastAsia="zh-CN"/>
        </w:rPr>
        <w:t xml:space="preserve"> </w:t>
      </w:r>
      <w:r w:rsidRPr="00310BAC">
        <w:rPr>
          <w:rFonts w:ascii="Arial" w:hAnsi="Arial" w:cs="Arial"/>
          <w:iCs/>
          <w:noProof/>
          <w:color w:val="000000"/>
          <w:lang w:eastAsia="zh-CN"/>
        </w:rPr>
        <w:t>the National Energy Market and Australia’s East Coast gas markets</w:t>
      </w:r>
      <w:r w:rsidR="00A9322E" w:rsidRPr="00310BAC">
        <w:rPr>
          <w:rFonts w:ascii="Arial" w:hAnsi="Arial" w:cs="Arial"/>
          <w:iCs/>
          <w:noProof/>
          <w:color w:val="000000"/>
          <w:lang w:eastAsia="zh-CN"/>
        </w:rPr>
        <w:t>.</w:t>
      </w:r>
    </w:p>
    <w:bookmarkEnd w:id="2"/>
    <w:p w14:paraId="45CD8114" w14:textId="77777777" w:rsidR="000B4101" w:rsidRDefault="000B4101" w:rsidP="00A9322E">
      <w:pPr>
        <w:keepNext/>
        <w:spacing w:line="240" w:lineRule="auto"/>
        <w:rPr>
          <w:rFonts w:ascii="Arial" w:hAnsi="Arial" w:cs="Arial"/>
          <w:iCs/>
          <w:noProof/>
          <w:color w:val="232222" w:themeColor="text1"/>
          <w:lang w:eastAsia="zh-CN"/>
        </w:rPr>
      </w:pPr>
    </w:p>
    <w:p w14:paraId="6767AD3B" w14:textId="6674BA3C" w:rsidR="000B4101" w:rsidRPr="003248C4" w:rsidRDefault="000B4101" w:rsidP="00A9322E">
      <w:pPr>
        <w:keepNext/>
        <w:spacing w:line="240" w:lineRule="auto"/>
        <w:rPr>
          <w:rFonts w:ascii="Arial" w:hAnsi="Arial" w:cs="Arial"/>
          <w:i/>
          <w:noProof/>
          <w:color w:val="232222" w:themeColor="text1"/>
          <w:lang w:eastAsia="zh-CN"/>
        </w:rPr>
      </w:pPr>
      <w:r w:rsidRPr="003248C4">
        <w:rPr>
          <w:rFonts w:ascii="Arial" w:hAnsi="Arial" w:cs="Arial"/>
          <w:i/>
          <w:noProof/>
          <w:color w:val="232222" w:themeColor="text1"/>
          <w:lang w:eastAsia="zh-CN"/>
        </w:rPr>
        <w:t>The Branch</w:t>
      </w:r>
    </w:p>
    <w:p w14:paraId="0B89B926" w14:textId="77777777" w:rsidR="00D52335" w:rsidRPr="00D52335" w:rsidRDefault="00D52335" w:rsidP="00D52335">
      <w:pPr>
        <w:keepNext/>
        <w:spacing w:line="240" w:lineRule="auto"/>
        <w:rPr>
          <w:rFonts w:ascii="Arial" w:hAnsi="Arial" w:cs="Arial"/>
          <w:iCs/>
          <w:noProof/>
          <w:color w:val="232222" w:themeColor="text1"/>
          <w:lang w:eastAsia="zh-CN"/>
        </w:rPr>
      </w:pPr>
      <w:r w:rsidRPr="00D52335">
        <w:rPr>
          <w:rFonts w:ascii="Arial" w:hAnsi="Arial" w:cs="Arial"/>
          <w:iCs/>
          <w:noProof/>
          <w:color w:val="232222" w:themeColor="text1"/>
          <w:lang w:eastAsia="zh-CN"/>
        </w:rPr>
        <w:t>The Transmission and Large Load Policy Branch provides direction on the development of Victoria’s policy frameworks associated with the electricity transmission network, Renewable Energy Zones and the connection of new large electricity customers, including data centres. The branch provides strategic advice to government to support electricity supply reliability and the renewable energy transition in Victoria. More specifically the branch is responsible for:</w:t>
      </w:r>
    </w:p>
    <w:p w14:paraId="3D90957C" w14:textId="7639FB23" w:rsidR="00D52335" w:rsidRPr="00D52335" w:rsidRDefault="00D52335" w:rsidP="00A031BA">
      <w:pPr>
        <w:pStyle w:val="ListParagraph"/>
        <w:keepNext/>
        <w:numPr>
          <w:ilvl w:val="0"/>
          <w:numId w:val="19"/>
        </w:numPr>
        <w:spacing w:line="240" w:lineRule="auto"/>
        <w:rPr>
          <w:rFonts w:ascii="Arial" w:hAnsi="Arial" w:cs="Arial"/>
          <w:iCs/>
          <w:noProof/>
          <w:color w:val="232222" w:themeColor="text1"/>
          <w:lang w:eastAsia="zh-CN"/>
        </w:rPr>
      </w:pPr>
      <w:r w:rsidRPr="00D52335">
        <w:rPr>
          <w:rFonts w:ascii="Arial" w:hAnsi="Arial" w:cs="Arial"/>
          <w:iCs/>
          <w:noProof/>
          <w:color w:val="232222" w:themeColor="text1"/>
          <w:lang w:eastAsia="zh-CN"/>
        </w:rPr>
        <w:t>strategic policy advice on national and Victorian policy frameworks for transmission infrastructure and Renewable Energy Zones to enable renewable energy transition;</w:t>
      </w:r>
    </w:p>
    <w:p w14:paraId="6EC3961A" w14:textId="29645245" w:rsidR="00D52335" w:rsidRPr="00D52335" w:rsidRDefault="00D52335" w:rsidP="00A031BA">
      <w:pPr>
        <w:pStyle w:val="ListParagraph"/>
        <w:keepNext/>
        <w:numPr>
          <w:ilvl w:val="0"/>
          <w:numId w:val="19"/>
        </w:numPr>
        <w:spacing w:line="240" w:lineRule="auto"/>
        <w:rPr>
          <w:rFonts w:ascii="Arial" w:hAnsi="Arial" w:cs="Arial"/>
          <w:iCs/>
          <w:noProof/>
          <w:color w:val="232222" w:themeColor="text1"/>
          <w:lang w:eastAsia="zh-CN"/>
        </w:rPr>
      </w:pPr>
      <w:r w:rsidRPr="00D52335">
        <w:rPr>
          <w:rFonts w:ascii="Arial" w:hAnsi="Arial" w:cs="Arial"/>
          <w:iCs/>
          <w:noProof/>
          <w:color w:val="232222" w:themeColor="text1"/>
          <w:lang w:eastAsia="zh-CN"/>
        </w:rPr>
        <w:t>development of frameworks to facilitate the connection of large load customers to the electricity network while ensuring energy reliability and security; and</w:t>
      </w:r>
    </w:p>
    <w:p w14:paraId="23D59D90" w14:textId="08B4F1EB" w:rsidR="00E568DE" w:rsidRPr="00D52335" w:rsidRDefault="00D52335" w:rsidP="00A031BA">
      <w:pPr>
        <w:pStyle w:val="ListParagraph"/>
        <w:keepNext/>
        <w:numPr>
          <w:ilvl w:val="0"/>
          <w:numId w:val="19"/>
        </w:numPr>
        <w:spacing w:line="240" w:lineRule="auto"/>
        <w:rPr>
          <w:rFonts w:ascii="Arial" w:hAnsi="Arial" w:cs="Arial"/>
          <w:iCs/>
          <w:noProof/>
          <w:color w:val="232222" w:themeColor="text1"/>
          <w:lang w:eastAsia="zh-CN"/>
        </w:rPr>
      </w:pPr>
      <w:r w:rsidRPr="00D52335">
        <w:rPr>
          <w:rFonts w:ascii="Arial" w:hAnsi="Arial" w:cs="Arial"/>
          <w:iCs/>
          <w:noProof/>
          <w:color w:val="232222" w:themeColor="text1"/>
          <w:lang w:eastAsia="zh-CN"/>
        </w:rPr>
        <w:t xml:space="preserve">ensuring key strategic electricity transmission projects are enabled and delivered in a timely and efficient fashion. </w:t>
      </w:r>
    </w:p>
    <w:p w14:paraId="47A5774F" w14:textId="1B63BA29" w:rsidR="00495B3B" w:rsidRPr="00135465" w:rsidRDefault="00495B3B" w:rsidP="00495B3B">
      <w:pPr>
        <w:keepNext/>
        <w:spacing w:line="240" w:lineRule="auto"/>
        <w:rPr>
          <w:rFonts w:ascii="Arial" w:hAnsi="Arial" w:cs="Arial"/>
          <w:bCs/>
          <w:color w:val="442D97"/>
          <w:sz w:val="28"/>
          <w:szCs w:val="28"/>
          <w:lang w:eastAsia="zh-CN"/>
        </w:rPr>
      </w:pPr>
      <w:r w:rsidRPr="00135465">
        <w:rPr>
          <w:rFonts w:ascii="Arial" w:hAnsi="Arial" w:cs="Arial"/>
          <w:bCs/>
          <w:color w:val="442D97"/>
          <w:sz w:val="28"/>
          <w:szCs w:val="28"/>
          <w:lang w:eastAsia="zh-CN"/>
        </w:rPr>
        <w:t>Accountabilities</w:t>
      </w:r>
    </w:p>
    <w:p w14:paraId="36578DE7" w14:textId="470A16E5" w:rsidR="006E192F" w:rsidRPr="00135465" w:rsidRDefault="006E192F" w:rsidP="00A031BA">
      <w:pPr>
        <w:numPr>
          <w:ilvl w:val="0"/>
          <w:numId w:val="16"/>
        </w:numPr>
        <w:spacing w:line="240" w:lineRule="auto"/>
        <w:jc w:val="both"/>
        <w:rPr>
          <w:rFonts w:ascii="Arial" w:hAnsi="Arial"/>
          <w:szCs w:val="22"/>
        </w:rPr>
      </w:pPr>
      <w:r w:rsidRPr="00EF7C8C">
        <w:rPr>
          <w:rFonts w:ascii="Arial" w:hAnsi="Arial" w:cs="Arial"/>
          <w:color w:val="1A1A1A"/>
        </w:rPr>
        <w:t>Deliver strategic policy advice</w:t>
      </w:r>
      <w:r w:rsidRPr="00135465">
        <w:rPr>
          <w:rFonts w:ascii="Arial" w:hAnsi="Arial" w:cs="Arial"/>
          <w:color w:val="1A1A1A"/>
        </w:rPr>
        <w:t xml:space="preserve"> that supports Victoria’s growth in data centres, utilising research, analysis, and policy development </w:t>
      </w:r>
      <w:r w:rsidRPr="00EF7C8C">
        <w:rPr>
          <w:rFonts w:ascii="Arial" w:hAnsi="Arial" w:cs="Arial"/>
          <w:color w:val="1A1A1A"/>
        </w:rPr>
        <w:t>skills to scan for emerging directions and challenges and provide advice to address in the short, medium, and long term</w:t>
      </w:r>
    </w:p>
    <w:p w14:paraId="0F3C4AC1" w14:textId="48710E32" w:rsidR="00270BA3" w:rsidRPr="00135465" w:rsidRDefault="009677F4" w:rsidP="00A031BA">
      <w:pPr>
        <w:numPr>
          <w:ilvl w:val="0"/>
          <w:numId w:val="16"/>
        </w:numPr>
        <w:spacing w:line="240" w:lineRule="auto"/>
        <w:jc w:val="both"/>
        <w:rPr>
          <w:rFonts w:ascii="Arial" w:hAnsi="Arial"/>
          <w:szCs w:val="22"/>
        </w:rPr>
      </w:pPr>
      <w:r>
        <w:rPr>
          <w:rFonts w:ascii="Arial" w:hAnsi="Arial"/>
          <w:szCs w:val="22"/>
        </w:rPr>
        <w:t>Lead</w:t>
      </w:r>
      <w:r w:rsidRPr="00135465">
        <w:rPr>
          <w:rFonts w:ascii="Arial" w:hAnsi="Arial"/>
          <w:szCs w:val="22"/>
        </w:rPr>
        <w:t xml:space="preserve"> </w:t>
      </w:r>
      <w:r w:rsidR="0039573F" w:rsidRPr="00135465">
        <w:rPr>
          <w:rFonts w:ascii="Arial" w:hAnsi="Arial"/>
          <w:szCs w:val="22"/>
        </w:rPr>
        <w:t xml:space="preserve">and prepare </w:t>
      </w:r>
      <w:r w:rsidR="00270BA3" w:rsidRPr="00135465">
        <w:rPr>
          <w:rFonts w:ascii="Arial" w:hAnsi="Arial"/>
          <w:szCs w:val="22"/>
        </w:rPr>
        <w:t xml:space="preserve">high-quality research, analysis and </w:t>
      </w:r>
      <w:r w:rsidR="001D71E1" w:rsidRPr="00135465">
        <w:rPr>
          <w:rFonts w:ascii="Arial" w:hAnsi="Arial"/>
          <w:szCs w:val="22"/>
        </w:rPr>
        <w:t xml:space="preserve">strategic </w:t>
      </w:r>
      <w:r w:rsidR="007F1E2F" w:rsidRPr="00135465">
        <w:rPr>
          <w:rFonts w:ascii="Arial" w:hAnsi="Arial"/>
          <w:szCs w:val="22"/>
        </w:rPr>
        <w:t>policy advice</w:t>
      </w:r>
      <w:r w:rsidR="00270BA3" w:rsidRPr="00135465">
        <w:rPr>
          <w:rFonts w:ascii="Arial" w:hAnsi="Arial"/>
          <w:szCs w:val="22"/>
        </w:rPr>
        <w:t xml:space="preserve"> </w:t>
      </w:r>
      <w:r w:rsidR="007F1E2F" w:rsidRPr="00135465">
        <w:rPr>
          <w:rFonts w:ascii="Arial" w:hAnsi="Arial"/>
          <w:szCs w:val="22"/>
        </w:rPr>
        <w:t xml:space="preserve">to support planned and sustainable data centre growth in Victoria, where energy </w:t>
      </w:r>
      <w:r w:rsidR="004125BC" w:rsidRPr="00135465">
        <w:rPr>
          <w:rFonts w:ascii="Arial" w:hAnsi="Arial"/>
          <w:szCs w:val="22"/>
        </w:rPr>
        <w:t>implications</w:t>
      </w:r>
      <w:r w:rsidR="007F1E2F" w:rsidRPr="00135465">
        <w:rPr>
          <w:rFonts w:ascii="Arial" w:hAnsi="Arial"/>
          <w:szCs w:val="22"/>
        </w:rPr>
        <w:t xml:space="preserve"> are understood and appropriately managed</w:t>
      </w:r>
      <w:r w:rsidR="00270BA3" w:rsidRPr="00135465">
        <w:rPr>
          <w:rFonts w:ascii="Arial" w:hAnsi="Arial"/>
          <w:szCs w:val="22"/>
        </w:rPr>
        <w:t>.</w:t>
      </w:r>
    </w:p>
    <w:p w14:paraId="30FD406D" w14:textId="343A8083" w:rsidR="00447AA7" w:rsidRPr="00135465" w:rsidRDefault="00F77FE7" w:rsidP="00A031BA">
      <w:pPr>
        <w:numPr>
          <w:ilvl w:val="0"/>
          <w:numId w:val="16"/>
        </w:numPr>
        <w:spacing w:line="240" w:lineRule="auto"/>
        <w:jc w:val="both"/>
        <w:rPr>
          <w:rFonts w:ascii="Arial" w:hAnsi="Arial"/>
          <w:szCs w:val="22"/>
        </w:rPr>
      </w:pPr>
      <w:r w:rsidRPr="00F77FE7">
        <w:rPr>
          <w:rFonts w:ascii="Arial" w:hAnsi="Arial"/>
          <w:szCs w:val="22"/>
        </w:rPr>
        <w:t>Identify key stakeholders</w:t>
      </w:r>
      <w:r>
        <w:rPr>
          <w:rFonts w:ascii="Arial" w:hAnsi="Arial"/>
          <w:szCs w:val="22"/>
        </w:rPr>
        <w:t>, d</w:t>
      </w:r>
      <w:r w:rsidR="008603E6" w:rsidRPr="00135465">
        <w:rPr>
          <w:rFonts w:ascii="Arial" w:hAnsi="Arial"/>
          <w:szCs w:val="22"/>
        </w:rPr>
        <w:t>evelop</w:t>
      </w:r>
      <w:r w:rsidR="0094234F" w:rsidRPr="00135465">
        <w:rPr>
          <w:rFonts w:ascii="Arial" w:hAnsi="Arial"/>
          <w:szCs w:val="22"/>
        </w:rPr>
        <w:t xml:space="preserve"> and maintain </w:t>
      </w:r>
      <w:r w:rsidR="00542CF4" w:rsidRPr="00135465">
        <w:rPr>
          <w:rFonts w:ascii="Arial" w:hAnsi="Arial"/>
          <w:szCs w:val="22"/>
        </w:rPr>
        <w:t xml:space="preserve">productive </w:t>
      </w:r>
      <w:r w:rsidR="0094234F" w:rsidRPr="00135465">
        <w:rPr>
          <w:rFonts w:ascii="Arial" w:hAnsi="Arial"/>
          <w:szCs w:val="22"/>
        </w:rPr>
        <w:t xml:space="preserve">relationships with </w:t>
      </w:r>
      <w:r w:rsidR="00447AA7" w:rsidRPr="00135465">
        <w:rPr>
          <w:rFonts w:ascii="Arial" w:hAnsi="Arial"/>
          <w:szCs w:val="22"/>
        </w:rPr>
        <w:t xml:space="preserve">key stakeholders, across the Energy Group, the </w:t>
      </w:r>
      <w:r w:rsidR="00542CF4" w:rsidRPr="00135465">
        <w:rPr>
          <w:rFonts w:ascii="Arial" w:hAnsi="Arial"/>
          <w:szCs w:val="22"/>
        </w:rPr>
        <w:t xml:space="preserve">broader </w:t>
      </w:r>
      <w:r w:rsidR="00447AA7" w:rsidRPr="00135465">
        <w:rPr>
          <w:rFonts w:ascii="Arial" w:hAnsi="Arial"/>
          <w:szCs w:val="22"/>
        </w:rPr>
        <w:t>department, and other government departments</w:t>
      </w:r>
      <w:r w:rsidR="00542CF4" w:rsidRPr="00135465">
        <w:rPr>
          <w:rFonts w:ascii="Arial" w:hAnsi="Arial"/>
          <w:szCs w:val="22"/>
        </w:rPr>
        <w:t>.</w:t>
      </w:r>
      <w:r w:rsidR="00447AA7" w:rsidRPr="00135465">
        <w:rPr>
          <w:rFonts w:ascii="Arial" w:hAnsi="Arial"/>
          <w:szCs w:val="22"/>
        </w:rPr>
        <w:t xml:space="preserve"> </w:t>
      </w:r>
    </w:p>
    <w:p w14:paraId="5688B5BC" w14:textId="097A54EF" w:rsidR="00447AA7" w:rsidRPr="00135465" w:rsidRDefault="00447AA7" w:rsidP="00A031BA">
      <w:pPr>
        <w:numPr>
          <w:ilvl w:val="0"/>
          <w:numId w:val="16"/>
        </w:numPr>
        <w:spacing w:before="60" w:after="60" w:line="240" w:lineRule="auto"/>
        <w:jc w:val="both"/>
        <w:rPr>
          <w:rFonts w:eastAsiaTheme="minorHAnsi" w:cstheme="minorBidi"/>
          <w:lang w:eastAsia="en-US"/>
        </w:rPr>
      </w:pPr>
      <w:r w:rsidRPr="00135465">
        <w:rPr>
          <w:rFonts w:eastAsiaTheme="minorHAnsi" w:cstheme="minorBidi"/>
          <w:lang w:eastAsia="en-US"/>
        </w:rPr>
        <w:t>Provide</w:t>
      </w:r>
      <w:r w:rsidR="002D12A4" w:rsidRPr="00135465">
        <w:rPr>
          <w:rFonts w:eastAsiaTheme="minorHAnsi" w:cstheme="minorBidi"/>
          <w:lang w:eastAsia="en-US"/>
        </w:rPr>
        <w:t xml:space="preserve"> </w:t>
      </w:r>
      <w:r w:rsidRPr="00135465">
        <w:rPr>
          <w:rFonts w:eastAsiaTheme="minorHAnsi" w:cstheme="minorBidi"/>
          <w:lang w:eastAsia="en-US"/>
        </w:rPr>
        <w:t>timely and accurate advice to management and key stakeholders across Government on policy, procedures and operational issues.</w:t>
      </w:r>
    </w:p>
    <w:p w14:paraId="0EEE5230" w14:textId="0EA2E5FD" w:rsidR="008F113A" w:rsidRPr="00135465" w:rsidRDefault="008F113A" w:rsidP="00A031BA">
      <w:pPr>
        <w:numPr>
          <w:ilvl w:val="0"/>
          <w:numId w:val="16"/>
        </w:numPr>
        <w:spacing w:line="240" w:lineRule="auto"/>
        <w:jc w:val="both"/>
        <w:rPr>
          <w:rFonts w:ascii="Arial" w:hAnsi="Arial"/>
        </w:rPr>
      </w:pPr>
      <w:r w:rsidRPr="29D22B2B">
        <w:rPr>
          <w:rFonts w:ascii="Arial" w:hAnsi="Arial"/>
        </w:rPr>
        <w:t>Maintain awareness of relevant trends and issues within the State, in other States and overseas</w:t>
      </w:r>
      <w:r w:rsidR="00115BCF" w:rsidRPr="29D22B2B">
        <w:rPr>
          <w:rFonts w:ascii="Arial" w:hAnsi="Arial"/>
        </w:rPr>
        <w:t xml:space="preserve"> in relation to data </w:t>
      </w:r>
      <w:r w:rsidR="40C158B9" w:rsidRPr="29D22B2B">
        <w:rPr>
          <w:rFonts w:ascii="Arial" w:hAnsi="Arial"/>
        </w:rPr>
        <w:t>centres</w:t>
      </w:r>
      <w:r w:rsidRPr="29D22B2B">
        <w:rPr>
          <w:rFonts w:ascii="Arial" w:hAnsi="Arial"/>
        </w:rPr>
        <w:t>.</w:t>
      </w:r>
    </w:p>
    <w:p w14:paraId="28402805" w14:textId="3F4A4ED3" w:rsidR="00270BA3" w:rsidRPr="00135465" w:rsidRDefault="002F6CE5" w:rsidP="00A031BA">
      <w:pPr>
        <w:numPr>
          <w:ilvl w:val="0"/>
          <w:numId w:val="16"/>
        </w:numPr>
        <w:spacing w:before="0" w:line="240" w:lineRule="auto"/>
        <w:jc w:val="both"/>
        <w:rPr>
          <w:rFonts w:ascii="Arial" w:hAnsi="Arial"/>
          <w:szCs w:val="22"/>
        </w:rPr>
      </w:pPr>
      <w:r w:rsidRPr="00135465">
        <w:rPr>
          <w:rFonts w:ascii="Arial" w:hAnsi="Arial"/>
          <w:szCs w:val="22"/>
        </w:rPr>
        <w:t>Contribute to the design of legal and regulatory mechanisms, strategies and tools which support planned and sustainable data centre growth.</w:t>
      </w:r>
    </w:p>
    <w:p w14:paraId="7607B576" w14:textId="4360EE17" w:rsidR="00290712" w:rsidRPr="00135465" w:rsidRDefault="003248C4" w:rsidP="00A031BA">
      <w:pPr>
        <w:numPr>
          <w:ilvl w:val="0"/>
          <w:numId w:val="16"/>
        </w:numPr>
        <w:spacing w:before="60" w:after="60" w:line="240" w:lineRule="auto"/>
        <w:jc w:val="both"/>
        <w:rPr>
          <w:rFonts w:eastAsiaTheme="minorHAnsi" w:cstheme="minorBidi"/>
          <w:lang w:eastAsia="en-US"/>
        </w:rPr>
      </w:pPr>
      <w:r>
        <w:rPr>
          <w:rFonts w:eastAsiaTheme="minorHAnsi" w:cstheme="minorBidi"/>
          <w:lang w:eastAsia="en-US"/>
        </w:rPr>
        <w:t>Prepare and d</w:t>
      </w:r>
      <w:r w:rsidR="002D12A4" w:rsidRPr="00135465">
        <w:rPr>
          <w:rFonts w:eastAsiaTheme="minorHAnsi" w:cstheme="minorBidi"/>
          <w:lang w:eastAsia="en-US"/>
        </w:rPr>
        <w:t>evelop</w:t>
      </w:r>
      <w:r w:rsidR="00ED5109" w:rsidRPr="00135465">
        <w:rPr>
          <w:rFonts w:eastAsiaTheme="minorHAnsi" w:cstheme="minorBidi"/>
          <w:lang w:eastAsia="en-US"/>
        </w:rPr>
        <w:t xml:space="preserve"> </w:t>
      </w:r>
      <w:r w:rsidR="00290712" w:rsidRPr="00135465">
        <w:rPr>
          <w:rFonts w:eastAsiaTheme="minorHAnsi" w:cstheme="minorBidi"/>
          <w:lang w:eastAsia="en-US"/>
        </w:rPr>
        <w:t>high-quality written documents, including briefings and reports to a range of stakeholders within the required deadlines.</w:t>
      </w:r>
    </w:p>
    <w:p w14:paraId="1AEE2617" w14:textId="476F719F" w:rsidR="00495B3B" w:rsidRPr="00135465" w:rsidRDefault="002F6CE5" w:rsidP="00A031BA">
      <w:pPr>
        <w:numPr>
          <w:ilvl w:val="0"/>
          <w:numId w:val="16"/>
        </w:numPr>
        <w:spacing w:before="0" w:line="240" w:lineRule="auto"/>
        <w:jc w:val="both"/>
        <w:rPr>
          <w:rFonts w:ascii="Arial" w:hAnsi="Arial"/>
          <w:szCs w:val="22"/>
        </w:rPr>
      </w:pPr>
      <w:r w:rsidRPr="00135465">
        <w:rPr>
          <w:rFonts w:ascii="Arial" w:hAnsi="Arial"/>
          <w:szCs w:val="22"/>
        </w:rPr>
        <w:t>To practice cultural safety by creating environments, relationships and systems free from racism and discrimination so that people can feel safe, valued and able to participate.</w:t>
      </w:r>
    </w:p>
    <w:p w14:paraId="3D3807B0" w14:textId="77777777" w:rsidR="00495B3B" w:rsidRPr="00135465" w:rsidRDefault="00495B3B" w:rsidP="00495B3B">
      <w:pPr>
        <w:keepNext/>
        <w:spacing w:before="0" w:line="240" w:lineRule="auto"/>
        <w:rPr>
          <w:rFonts w:ascii="Arial" w:hAnsi="Arial" w:cs="Arial"/>
          <w:bCs/>
          <w:color w:val="442D97"/>
          <w:sz w:val="28"/>
          <w:szCs w:val="28"/>
          <w:lang w:eastAsia="zh-CN"/>
        </w:rPr>
      </w:pPr>
      <w:r w:rsidRPr="00135465">
        <w:rPr>
          <w:rFonts w:ascii="Arial" w:hAnsi="Arial" w:cs="Arial"/>
          <w:bCs/>
          <w:color w:val="442D97"/>
          <w:sz w:val="28"/>
          <w:szCs w:val="28"/>
          <w:lang w:eastAsia="zh-CN"/>
        </w:rPr>
        <w:lastRenderedPageBreak/>
        <w:t>Key Selection Criteria</w:t>
      </w:r>
    </w:p>
    <w:p w14:paraId="298BC1C8" w14:textId="77777777" w:rsidR="00495B3B" w:rsidRPr="00135465" w:rsidRDefault="00495B3B" w:rsidP="00495B3B">
      <w:pPr>
        <w:spacing w:before="0" w:after="0"/>
        <w:rPr>
          <w:rFonts w:ascii="Arial" w:hAnsi="Arial" w:cs="Arial"/>
          <w:color w:val="363534"/>
          <w:szCs w:val="22"/>
        </w:rPr>
      </w:pPr>
      <w:r w:rsidRPr="00135465">
        <w:rPr>
          <w:rFonts w:ascii="Arial" w:hAnsi="Arial" w:cs="Arial"/>
          <w:color w:val="363534"/>
          <w:szCs w:val="22"/>
        </w:rPr>
        <w:t>The key selection criteria specified below outline the capabilities required for the position.</w:t>
      </w:r>
    </w:p>
    <w:p w14:paraId="7195DD23" w14:textId="77777777" w:rsidR="00495B3B" w:rsidRPr="00135465" w:rsidRDefault="00495B3B" w:rsidP="00495B3B">
      <w:pPr>
        <w:spacing w:before="160" w:after="0"/>
        <w:rPr>
          <w:rFonts w:ascii="Arial" w:hAnsi="Arial" w:cs="Arial"/>
          <w:b/>
          <w:color w:val="363534"/>
          <w:szCs w:val="22"/>
        </w:rPr>
      </w:pPr>
      <w:r w:rsidRPr="00135465">
        <w:rPr>
          <w:rFonts w:ascii="Arial" w:hAnsi="Arial" w:cs="Arial"/>
          <w:b/>
          <w:color w:val="363534"/>
          <w:szCs w:val="22"/>
        </w:rPr>
        <w:t>Specialist/Technical Expertise/Qualifications</w:t>
      </w:r>
    </w:p>
    <w:p w14:paraId="1D516C7F" w14:textId="39376DF1" w:rsidR="00495B3B" w:rsidRPr="00135465" w:rsidRDefault="00F77FE7" w:rsidP="00A031BA">
      <w:pPr>
        <w:pStyle w:val="ListParagraph"/>
        <w:numPr>
          <w:ilvl w:val="0"/>
          <w:numId w:val="16"/>
        </w:numPr>
        <w:tabs>
          <w:tab w:val="clear" w:pos="360"/>
        </w:tabs>
        <w:spacing w:before="0" w:after="0" w:line="276" w:lineRule="auto"/>
        <w:jc w:val="both"/>
        <w:rPr>
          <w:rFonts w:ascii="Arial" w:hAnsi="Arial"/>
          <w:b/>
        </w:rPr>
      </w:pPr>
      <w:r>
        <w:rPr>
          <w:rFonts w:ascii="Arial" w:hAnsi="Arial"/>
          <w:color w:val="000000"/>
          <w:lang w:eastAsia="zh-CN"/>
        </w:rPr>
        <w:t>A</w:t>
      </w:r>
      <w:r w:rsidR="00D006C5" w:rsidRPr="00135465">
        <w:rPr>
          <w:rFonts w:ascii="Arial" w:hAnsi="Arial"/>
          <w:color w:val="000000"/>
          <w:lang w:eastAsia="zh-CN"/>
        </w:rPr>
        <w:t xml:space="preserve"> degree qualification or higher in science, natural resource management, </w:t>
      </w:r>
      <w:r w:rsidR="00340E53" w:rsidRPr="00135465">
        <w:rPr>
          <w:rFonts w:ascii="Arial" w:hAnsi="Arial"/>
          <w:color w:val="000000"/>
          <w:lang w:eastAsia="zh-CN"/>
        </w:rPr>
        <w:t xml:space="preserve">engineering, </w:t>
      </w:r>
      <w:r w:rsidR="00D006C5" w:rsidRPr="00135465">
        <w:rPr>
          <w:rFonts w:ascii="Arial" w:hAnsi="Arial"/>
          <w:color w:val="000000"/>
          <w:lang w:eastAsia="zh-CN"/>
        </w:rPr>
        <w:t xml:space="preserve">law, public policy or other </w:t>
      </w:r>
      <w:r w:rsidR="00340E53" w:rsidRPr="00135465">
        <w:rPr>
          <w:rFonts w:ascii="Arial" w:hAnsi="Arial"/>
          <w:color w:val="000000"/>
          <w:lang w:eastAsia="zh-CN"/>
        </w:rPr>
        <w:t>relevant</w:t>
      </w:r>
      <w:r w:rsidR="00D006C5" w:rsidRPr="00135465">
        <w:rPr>
          <w:rFonts w:ascii="Arial" w:hAnsi="Arial"/>
          <w:color w:val="000000"/>
          <w:lang w:eastAsia="zh-CN"/>
        </w:rPr>
        <w:t xml:space="preserve"> disciplin</w:t>
      </w:r>
      <w:r w:rsidR="00340E53" w:rsidRPr="00135465">
        <w:rPr>
          <w:rFonts w:ascii="Arial" w:hAnsi="Arial"/>
          <w:color w:val="000000"/>
          <w:lang w:eastAsia="zh-CN"/>
        </w:rPr>
        <w:t>e</w:t>
      </w:r>
      <w:r>
        <w:rPr>
          <w:rFonts w:ascii="Arial" w:hAnsi="Arial"/>
          <w:color w:val="000000"/>
          <w:lang w:eastAsia="zh-CN"/>
        </w:rPr>
        <w:t xml:space="preserve"> is highly desirable</w:t>
      </w:r>
      <w:r w:rsidR="00D006C5" w:rsidRPr="00135465">
        <w:rPr>
          <w:rFonts w:ascii="Arial" w:hAnsi="Arial"/>
          <w:color w:val="000000"/>
          <w:lang w:eastAsia="zh-CN"/>
        </w:rPr>
        <w:t>.</w:t>
      </w:r>
    </w:p>
    <w:p w14:paraId="5AEB2C9D" w14:textId="696256F5" w:rsidR="0046288A" w:rsidRPr="00221BC1" w:rsidRDefault="00F77FE7" w:rsidP="00A031BA">
      <w:pPr>
        <w:pStyle w:val="ListParagraph"/>
        <w:numPr>
          <w:ilvl w:val="0"/>
          <w:numId w:val="16"/>
        </w:numPr>
        <w:spacing w:after="0" w:line="240" w:lineRule="auto"/>
        <w:jc w:val="both"/>
        <w:rPr>
          <w:rFonts w:ascii="Arial" w:hAnsi="Arial" w:cs="Arial"/>
          <w:b/>
          <w:color w:val="363534"/>
        </w:rPr>
      </w:pPr>
      <w:r>
        <w:rPr>
          <w:rFonts w:ascii="Arial" w:hAnsi="Arial"/>
          <w:szCs w:val="22"/>
          <w:lang w:eastAsia="zh-CN"/>
        </w:rPr>
        <w:t>D</w:t>
      </w:r>
      <w:r w:rsidR="00340E53" w:rsidRPr="00135465">
        <w:rPr>
          <w:rFonts w:ascii="Arial" w:hAnsi="Arial"/>
          <w:szCs w:val="22"/>
          <w:lang w:eastAsia="zh-CN"/>
        </w:rPr>
        <w:t xml:space="preserve">emonstrated knowledge and experience </w:t>
      </w:r>
      <w:r>
        <w:rPr>
          <w:rFonts w:ascii="Arial" w:hAnsi="Arial"/>
          <w:szCs w:val="22"/>
          <w:lang w:eastAsia="zh-CN"/>
        </w:rPr>
        <w:t>within the</w:t>
      </w:r>
      <w:r w:rsidR="00340E53" w:rsidRPr="00135465">
        <w:rPr>
          <w:rFonts w:ascii="Arial" w:hAnsi="Arial"/>
          <w:szCs w:val="22"/>
          <w:lang w:eastAsia="zh-CN"/>
        </w:rPr>
        <w:t xml:space="preserve"> energy sector, particularly with respect to electricity networks</w:t>
      </w:r>
      <w:r w:rsidR="009C7624">
        <w:rPr>
          <w:rFonts w:ascii="Arial" w:hAnsi="Arial"/>
          <w:szCs w:val="22"/>
          <w:lang w:eastAsia="zh-CN"/>
        </w:rPr>
        <w:t>,</w:t>
      </w:r>
      <w:r w:rsidR="009C7624" w:rsidRPr="00071887">
        <w:t xml:space="preserve"> </w:t>
      </w:r>
      <w:r w:rsidR="009C7624" w:rsidRPr="00071887">
        <w:rPr>
          <w:rFonts w:ascii="Arial" w:hAnsi="Arial"/>
          <w:szCs w:val="22"/>
          <w:lang w:eastAsia="zh-CN"/>
        </w:rPr>
        <w:t>as well as working understanding of the energy implications and surrounding policy for the built environment</w:t>
      </w:r>
      <w:r>
        <w:rPr>
          <w:rFonts w:ascii="Arial" w:hAnsi="Arial"/>
          <w:szCs w:val="22"/>
          <w:lang w:eastAsia="zh-CN"/>
        </w:rPr>
        <w:t xml:space="preserve"> is highly desirable</w:t>
      </w:r>
      <w:r w:rsidR="00340E53" w:rsidRPr="00135465">
        <w:rPr>
          <w:rFonts w:ascii="Arial" w:hAnsi="Arial"/>
          <w:szCs w:val="22"/>
          <w:lang w:eastAsia="zh-CN"/>
        </w:rPr>
        <w:t>.</w:t>
      </w:r>
    </w:p>
    <w:p w14:paraId="2D65496D" w14:textId="5D66B66B" w:rsidR="006B6653" w:rsidRPr="00221BC1" w:rsidRDefault="00F77FE7" w:rsidP="00A031BA">
      <w:pPr>
        <w:pStyle w:val="ListParagraph"/>
        <w:numPr>
          <w:ilvl w:val="0"/>
          <w:numId w:val="16"/>
        </w:numPr>
        <w:spacing w:after="0" w:line="240" w:lineRule="auto"/>
        <w:jc w:val="both"/>
        <w:rPr>
          <w:rFonts w:ascii="Arial" w:hAnsi="Arial" w:cs="Arial"/>
          <w:b/>
          <w:color w:val="363534"/>
        </w:rPr>
      </w:pPr>
      <w:r>
        <w:rPr>
          <w:rFonts w:ascii="Arial" w:hAnsi="Arial"/>
          <w:szCs w:val="22"/>
          <w:lang w:eastAsia="zh-CN"/>
        </w:rPr>
        <w:t>E</w:t>
      </w:r>
      <w:r w:rsidR="003F1720">
        <w:rPr>
          <w:rFonts w:ascii="Arial" w:hAnsi="Arial"/>
          <w:szCs w:val="22"/>
          <w:lang w:eastAsia="zh-CN"/>
        </w:rPr>
        <w:t xml:space="preserve">xperience in policy </w:t>
      </w:r>
      <w:r w:rsidR="003F1720" w:rsidRPr="00071887">
        <w:rPr>
          <w:rFonts w:ascii="Arial" w:hAnsi="Arial"/>
          <w:szCs w:val="22"/>
          <w:lang w:eastAsia="zh-CN"/>
        </w:rPr>
        <w:t xml:space="preserve">development </w:t>
      </w:r>
      <w:r w:rsidR="003F1720" w:rsidRPr="00097292">
        <w:rPr>
          <w:rFonts w:ascii="Arial" w:hAnsi="Arial"/>
          <w:szCs w:val="22"/>
          <w:lang w:eastAsia="zh-CN"/>
        </w:rPr>
        <w:t>and</w:t>
      </w:r>
      <w:r w:rsidR="005C1262">
        <w:rPr>
          <w:rFonts w:ascii="Arial" w:hAnsi="Arial"/>
          <w:szCs w:val="22"/>
          <w:lang w:eastAsia="zh-CN"/>
        </w:rPr>
        <w:t>/</w:t>
      </w:r>
      <w:r w:rsidR="003F1720" w:rsidRPr="00097292">
        <w:rPr>
          <w:rFonts w:ascii="Arial" w:hAnsi="Arial"/>
          <w:szCs w:val="22"/>
          <w:lang w:eastAsia="zh-CN"/>
        </w:rPr>
        <w:t>or project development</w:t>
      </w:r>
      <w:r>
        <w:rPr>
          <w:rFonts w:ascii="Arial" w:hAnsi="Arial"/>
          <w:szCs w:val="22"/>
          <w:lang w:eastAsia="zh-CN"/>
        </w:rPr>
        <w:t xml:space="preserve"> is highly desirable</w:t>
      </w:r>
      <w:r w:rsidR="003F1720" w:rsidRPr="00071887">
        <w:rPr>
          <w:rFonts w:ascii="Arial" w:hAnsi="Arial"/>
          <w:szCs w:val="22"/>
          <w:lang w:eastAsia="zh-CN"/>
        </w:rPr>
        <w:t xml:space="preserve">. </w:t>
      </w:r>
    </w:p>
    <w:p w14:paraId="62DD3F46" w14:textId="77777777" w:rsidR="00495B3B" w:rsidRPr="00135465" w:rsidRDefault="00495B3B" w:rsidP="00495B3B">
      <w:pPr>
        <w:spacing w:before="160" w:after="0"/>
        <w:rPr>
          <w:rFonts w:ascii="Arial" w:hAnsi="Arial" w:cs="Arial"/>
          <w:b/>
          <w:color w:val="363534"/>
        </w:rPr>
      </w:pPr>
      <w:r w:rsidRPr="00135465">
        <w:rPr>
          <w:rFonts w:ascii="Arial" w:hAnsi="Arial" w:cs="Arial"/>
          <w:b/>
          <w:color w:val="363534"/>
        </w:rPr>
        <w:t>Capabilities</w:t>
      </w:r>
    </w:p>
    <w:p w14:paraId="5CD13ADE" w14:textId="06B91B2F" w:rsidR="00495B3B" w:rsidRPr="00135465" w:rsidRDefault="00BC6248" w:rsidP="00A031BA">
      <w:pPr>
        <w:numPr>
          <w:ilvl w:val="0"/>
          <w:numId w:val="16"/>
        </w:numPr>
        <w:spacing w:before="60" w:after="0" w:line="240" w:lineRule="auto"/>
        <w:ind w:left="357" w:hanging="357"/>
        <w:rPr>
          <w:rFonts w:ascii="Arial" w:hAnsi="Arial" w:cs="Arial"/>
          <w:color w:val="000000"/>
          <w:lang w:eastAsia="zh-CN"/>
        </w:rPr>
      </w:pPr>
      <w:r w:rsidRPr="00135465">
        <w:rPr>
          <w:rFonts w:ascii="Arial" w:hAnsi="Arial" w:cs="Arial"/>
          <w:b/>
          <w:bCs/>
          <w:color w:val="000000"/>
          <w:lang w:eastAsia="zh-CN"/>
        </w:rPr>
        <w:t>Policy Design and Development:</w:t>
      </w:r>
      <w:r w:rsidRPr="00135465">
        <w:rPr>
          <w:rFonts w:ascii="Arial" w:hAnsi="Arial" w:cs="Arial"/>
          <w:color w:val="000000"/>
          <w:lang w:eastAsia="zh-CN"/>
        </w:rPr>
        <w:t xml:space="preserve"> Formulates &amp; communicates public policy options &amp; recommendations; Develops a clear narrative for the policies and business cases including clear problem definition and objectives; Considers impact of policy to strategic plans, community needs, complementing programs and policies across the service.</w:t>
      </w:r>
    </w:p>
    <w:p w14:paraId="5075B487" w14:textId="6244DA3D" w:rsidR="00BC6248" w:rsidRPr="00135465" w:rsidRDefault="00BC6248" w:rsidP="00A031BA">
      <w:pPr>
        <w:numPr>
          <w:ilvl w:val="0"/>
          <w:numId w:val="16"/>
        </w:numPr>
        <w:spacing w:before="60" w:after="0" w:line="240" w:lineRule="auto"/>
        <w:ind w:left="357" w:hanging="357"/>
        <w:rPr>
          <w:rFonts w:ascii="Arial" w:hAnsi="Arial" w:cs="Arial"/>
          <w:b/>
          <w:bCs/>
          <w:color w:val="000000"/>
          <w:lang w:eastAsia="zh-CN"/>
        </w:rPr>
      </w:pPr>
      <w:r w:rsidRPr="00135465">
        <w:rPr>
          <w:rFonts w:ascii="Arial" w:hAnsi="Arial" w:cs="Arial"/>
          <w:b/>
          <w:bCs/>
          <w:color w:val="000000"/>
          <w:lang w:eastAsia="zh-CN"/>
        </w:rPr>
        <w:t>Critical Thinking and Problem Solving:</w:t>
      </w:r>
      <w:r w:rsidRPr="00135465">
        <w:rPr>
          <w:rFonts w:ascii="Arial" w:hAnsi="Arial" w:cs="Arial"/>
          <w:color w:val="000000"/>
          <w:lang w:eastAsia="zh-CN"/>
        </w:rPr>
        <w:t xml:space="preserve"> 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5C9EF50E" w14:textId="6FA16A93" w:rsidR="00BC6248" w:rsidRPr="00135465" w:rsidRDefault="00BC6248" w:rsidP="00A031BA">
      <w:pPr>
        <w:numPr>
          <w:ilvl w:val="0"/>
          <w:numId w:val="16"/>
        </w:numPr>
        <w:spacing w:before="60" w:after="60" w:line="240" w:lineRule="auto"/>
        <w:jc w:val="both"/>
        <w:rPr>
          <w:rFonts w:eastAsiaTheme="minorHAnsi" w:cstheme="minorBidi"/>
          <w:lang w:eastAsia="en-US"/>
        </w:rPr>
      </w:pPr>
      <w:r w:rsidRPr="00135465">
        <w:rPr>
          <w:rFonts w:eastAsiaTheme="minorHAnsi" w:cstheme="minorBidi"/>
          <w:b/>
          <w:lang w:eastAsia="en-US"/>
        </w:rPr>
        <w:t>Stakeholder Management:</w:t>
      </w:r>
      <w:r w:rsidRPr="00135465">
        <w:rPr>
          <w:rFonts w:eastAsiaTheme="minorHAnsi" w:cstheme="minorBidi"/>
          <w:lang w:eastAsia="en-US"/>
        </w:rPr>
        <w:t xml:space="preserve"> </w:t>
      </w:r>
      <w:r w:rsidR="00E22A79" w:rsidRPr="00135465">
        <w:rPr>
          <w:rFonts w:eastAsiaTheme="minorHAnsi" w:cstheme="minorBidi"/>
          <w:lang w:eastAsia="en-US"/>
        </w:rPr>
        <w:t>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25511BF9" w14:textId="793FCC1E" w:rsidR="00E22A79" w:rsidRPr="00135465" w:rsidRDefault="00E22A79" w:rsidP="00A031BA">
      <w:pPr>
        <w:numPr>
          <w:ilvl w:val="0"/>
          <w:numId w:val="16"/>
        </w:numPr>
        <w:spacing w:before="60" w:after="60" w:line="240" w:lineRule="auto"/>
        <w:jc w:val="both"/>
        <w:rPr>
          <w:rFonts w:eastAsiaTheme="minorHAnsi" w:cstheme="minorBidi"/>
          <w:lang w:eastAsia="en-US"/>
        </w:rPr>
      </w:pPr>
      <w:r w:rsidRPr="00135465">
        <w:rPr>
          <w:rFonts w:eastAsiaTheme="minorEastAsia" w:cstheme="minorBidi"/>
          <w:b/>
          <w:lang w:eastAsia="en-US"/>
        </w:rPr>
        <w:t>Outcomes Thinking:</w:t>
      </w:r>
      <w:r w:rsidRPr="00135465">
        <w:rPr>
          <w:rFonts w:eastAsiaTheme="minorEastAsia" w:cstheme="minorBidi"/>
          <w:lang w:eastAsia="en-US"/>
        </w:rPr>
        <w:t xml:space="preserve"> </w:t>
      </w:r>
      <w:r w:rsidR="00A92894" w:rsidRPr="00135465">
        <w:t>Establishes mechanisms to monitor impact of work on the community; Ensures team/organisation’s operating and delivery model is designed in ways that creates a positive impact on community.</w:t>
      </w:r>
    </w:p>
    <w:p w14:paraId="61CC39B4" w14:textId="77777777" w:rsidR="00495B3B" w:rsidRPr="00135465" w:rsidRDefault="00495B3B" w:rsidP="00495B3B">
      <w:pPr>
        <w:keepNext/>
        <w:spacing w:before="0" w:after="0" w:line="240" w:lineRule="auto"/>
        <w:rPr>
          <w:rFonts w:ascii="Arial" w:hAnsi="Arial" w:cs="Arial"/>
          <w:bCs/>
          <w:color w:val="442D97"/>
          <w:sz w:val="28"/>
          <w:szCs w:val="28"/>
          <w:lang w:eastAsia="zh-CN"/>
        </w:rPr>
      </w:pPr>
      <w:bookmarkStart w:id="3" w:name="_Hlk102550785"/>
    </w:p>
    <w:p w14:paraId="72CE8D2C" w14:textId="77777777" w:rsidR="00495B3B" w:rsidRPr="00135465" w:rsidRDefault="00495B3B" w:rsidP="00495B3B">
      <w:pPr>
        <w:keepNext/>
        <w:spacing w:before="0" w:line="240" w:lineRule="auto"/>
        <w:rPr>
          <w:rFonts w:ascii="Arial" w:hAnsi="Arial" w:cs="Arial"/>
          <w:bCs/>
          <w:color w:val="442D97"/>
          <w:sz w:val="28"/>
          <w:szCs w:val="28"/>
          <w:lang w:eastAsia="zh-CN"/>
        </w:rPr>
      </w:pPr>
      <w:r w:rsidRPr="00135465">
        <w:rPr>
          <w:rFonts w:ascii="Arial" w:hAnsi="Arial" w:cs="Arial"/>
          <w:bCs/>
          <w:color w:val="442D97"/>
          <w:sz w:val="28"/>
          <w:szCs w:val="28"/>
          <w:lang w:eastAsia="zh-CN"/>
        </w:rPr>
        <w:t>Position specific requirements</w:t>
      </w:r>
    </w:p>
    <w:tbl>
      <w:tblPr>
        <w:tblStyle w:val="TableGrid10"/>
        <w:tblW w:w="0" w:type="auto"/>
        <w:tblBorders>
          <w:insideH w:val="single" w:sz="4" w:space="0" w:color="auto"/>
        </w:tblBorders>
        <w:tblLook w:val="04A0" w:firstRow="1" w:lastRow="0" w:firstColumn="1" w:lastColumn="0" w:noHBand="0" w:noVBand="1"/>
      </w:tblPr>
      <w:tblGrid>
        <w:gridCol w:w="3686"/>
        <w:gridCol w:w="6519"/>
      </w:tblGrid>
      <w:tr w:rsidR="00495B3B" w:rsidRPr="00135465" w14:paraId="54F1AA36" w14:textId="77777777" w:rsidTr="0059130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686" w:type="dxa"/>
            <w:tcBorders>
              <w:top w:val="single" w:sz="4" w:space="0" w:color="auto"/>
              <w:bottom w:val="single" w:sz="4" w:space="0" w:color="auto"/>
            </w:tcBorders>
            <w:shd w:val="clear" w:color="auto" w:fill="auto"/>
          </w:tcPr>
          <w:p w14:paraId="790AC891" w14:textId="77777777" w:rsidR="00495B3B" w:rsidRPr="00135465" w:rsidRDefault="00495B3B" w:rsidP="00495B3B">
            <w:pPr>
              <w:rPr>
                <w:rFonts w:cs="Arial"/>
                <w:color w:val="1A1A1A"/>
                <w:sz w:val="20"/>
              </w:rPr>
            </w:pPr>
            <w:r w:rsidRPr="00135465">
              <w:rPr>
                <w:rFonts w:cs="Arial"/>
                <w:color w:val="1A1A1A"/>
                <w:sz w:val="20"/>
              </w:rPr>
              <w:t>Financial Delegation Value</w:t>
            </w:r>
          </w:p>
        </w:tc>
        <w:tc>
          <w:tcPr>
            <w:tcW w:w="6519" w:type="dxa"/>
            <w:tcBorders>
              <w:top w:val="single" w:sz="4" w:space="0" w:color="auto"/>
              <w:bottom w:val="single" w:sz="4" w:space="0" w:color="auto"/>
            </w:tcBorders>
            <w:shd w:val="clear" w:color="auto" w:fill="auto"/>
          </w:tcPr>
          <w:p w14:paraId="2DBD5EFC" w14:textId="3C6DA75A" w:rsidR="00495B3B" w:rsidRPr="00135465" w:rsidRDefault="000772F4"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0772F4">
              <w:rPr>
                <w:rFonts w:cs="Arial"/>
                <w:color w:val="1A1A1A"/>
                <w:sz w:val="20"/>
              </w:rPr>
              <w:t>$</w:t>
            </w:r>
            <w:r>
              <w:rPr>
                <w:rFonts w:cs="Arial"/>
                <w:color w:val="1A1A1A"/>
                <w:sz w:val="20"/>
              </w:rPr>
              <w:t>0</w:t>
            </w:r>
            <w:r w:rsidRPr="000772F4">
              <w:rPr>
                <w:rFonts w:cs="Arial"/>
                <w:color w:val="1A1A1A"/>
                <w:sz w:val="20"/>
              </w:rPr>
              <w:t xml:space="preserve"> A declaration of Private Interests will be required for positions with financial delegations of &gt;$20,000</w:t>
            </w:r>
          </w:p>
        </w:tc>
      </w:tr>
      <w:tr w:rsidR="00495B3B" w:rsidRPr="00135465" w14:paraId="13112EBA" w14:textId="77777777" w:rsidTr="0059130E">
        <w:tc>
          <w:tcPr>
            <w:tcW w:w="3686" w:type="dxa"/>
            <w:tcBorders>
              <w:top w:val="single" w:sz="4" w:space="0" w:color="auto"/>
            </w:tcBorders>
            <w:shd w:val="clear" w:color="auto" w:fill="auto"/>
          </w:tcPr>
          <w:p w14:paraId="561BAA17" w14:textId="77777777" w:rsidR="00495B3B" w:rsidRPr="00135465" w:rsidRDefault="00495B3B" w:rsidP="00495B3B">
            <w:pPr>
              <w:spacing w:line="240" w:lineRule="auto"/>
              <w:contextualSpacing/>
              <w:outlineLvl w:val="1"/>
              <w:rPr>
                <w:rFonts w:ascii="Arial" w:hAnsi="Arial" w:cs="Arial"/>
                <w:sz w:val="20"/>
              </w:rPr>
            </w:pPr>
            <w:r w:rsidRPr="00135465">
              <w:rPr>
                <w:rFonts w:ascii="Arial" w:hAnsi="Arial" w:cs="Arial"/>
                <w:sz w:val="20"/>
              </w:rPr>
              <w:t>The occupational health and safety    requirements of this position may include, but are not limited to:</w:t>
            </w:r>
          </w:p>
          <w:p w14:paraId="7E591157" w14:textId="77777777" w:rsidR="00495B3B" w:rsidRPr="00135465" w:rsidRDefault="00495B3B" w:rsidP="00495B3B">
            <w:pPr>
              <w:rPr>
                <w:rFonts w:ascii="Arial" w:hAnsi="Arial" w:cs="Arial"/>
                <w:color w:val="1A1A1A"/>
                <w:sz w:val="20"/>
              </w:rPr>
            </w:pPr>
          </w:p>
        </w:tc>
        <w:tc>
          <w:tcPr>
            <w:tcW w:w="6519" w:type="dxa"/>
            <w:tcBorders>
              <w:top w:val="single" w:sz="4" w:space="0" w:color="auto"/>
            </w:tcBorders>
            <w:shd w:val="clear" w:color="auto" w:fill="auto"/>
          </w:tcPr>
          <w:p w14:paraId="23FF4545" w14:textId="18DCF4D1" w:rsidR="00495B3B" w:rsidRPr="0059130E" w:rsidRDefault="00495B3B" w:rsidP="00A031BA">
            <w:pPr>
              <w:pStyle w:val="ListParagraph"/>
              <w:numPr>
                <w:ilvl w:val="0"/>
                <w:numId w:val="18"/>
              </w:numPr>
              <w:spacing w:after="240" w:line="240" w:lineRule="auto"/>
              <w:outlineLvl w:val="1"/>
              <w:rPr>
                <w:rFonts w:ascii="Arial" w:hAnsi="Arial" w:cs="Arial"/>
              </w:rPr>
            </w:pPr>
            <w:r w:rsidRPr="000772F4">
              <w:rPr>
                <w:rFonts w:ascii="Arial" w:hAnsi="Arial" w:cs="Arial"/>
                <w:color w:val="1A1A1A"/>
                <w:sz w:val="20"/>
              </w:rPr>
              <w:t>Sedentary desk work</w:t>
            </w:r>
          </w:p>
        </w:tc>
      </w:tr>
      <w:tr w:rsidR="00495B3B" w:rsidRPr="00135465" w14:paraId="7CD2DEBC" w14:textId="77777777" w:rsidTr="0059130E">
        <w:trPr>
          <w:trHeight w:val="1277"/>
        </w:trPr>
        <w:tc>
          <w:tcPr>
            <w:tcW w:w="3686" w:type="dxa"/>
            <w:shd w:val="clear" w:color="auto" w:fill="auto"/>
          </w:tcPr>
          <w:p w14:paraId="16E8913A" w14:textId="7C60B600" w:rsidR="00495B3B" w:rsidRPr="00135465" w:rsidRDefault="00495B3B" w:rsidP="001C0518">
            <w:pPr>
              <w:rPr>
                <w:rFonts w:ascii="Arial" w:hAnsi="Arial" w:cs="Arial"/>
                <w:color w:val="1A1A1A"/>
                <w:sz w:val="20"/>
              </w:rPr>
            </w:pPr>
            <w:r w:rsidRPr="00135465">
              <w:rPr>
                <w:rFonts w:ascii="Arial" w:hAnsi="Arial" w:cs="Arial"/>
                <w:color w:val="1A1A1A"/>
                <w:sz w:val="20"/>
              </w:rPr>
              <w:t xml:space="preserve">DEECA will conduct relevant checks about applicants and the information provided within an application. Checks will include but are not limited to: </w:t>
            </w:r>
            <w:r w:rsidRPr="00135465">
              <w:rPr>
                <w:rFonts w:ascii="Arial" w:hAnsi="Arial" w:cs="Arial"/>
                <w:sz w:val="20"/>
              </w:rPr>
              <w:tab/>
            </w:r>
          </w:p>
        </w:tc>
        <w:tc>
          <w:tcPr>
            <w:tcW w:w="6519" w:type="dxa"/>
            <w:shd w:val="clear" w:color="auto" w:fill="auto"/>
          </w:tcPr>
          <w:p w14:paraId="731816A3" w14:textId="77777777" w:rsidR="00495B3B" w:rsidRPr="00135465" w:rsidRDefault="00495B3B" w:rsidP="00495B3B">
            <w:pPr>
              <w:jc w:val="both"/>
              <w:rPr>
                <w:rFonts w:ascii="Arial" w:hAnsi="Arial" w:cs="Arial"/>
                <w:color w:val="1A1A1A"/>
                <w:sz w:val="20"/>
              </w:rPr>
            </w:pPr>
            <w:r w:rsidRPr="00135465">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42866E3B" w:rsidR="00495B3B" w:rsidRPr="00135465" w:rsidRDefault="00495B3B" w:rsidP="001C0518">
            <w:pPr>
              <w:rPr>
                <w:rFonts w:ascii="Arial" w:hAnsi="Arial" w:cs="Arial"/>
                <w:color w:val="1A1A1A"/>
                <w:sz w:val="20"/>
              </w:rPr>
            </w:pPr>
            <w:r w:rsidRPr="00135465">
              <w:rPr>
                <w:rFonts w:ascii="Arial" w:hAnsi="Arial" w:cs="Arial"/>
                <w:color w:val="1A1A1A"/>
                <w:sz w:val="20"/>
              </w:rPr>
              <w:t>A satisfactory National Police Check will be required (for all non-DEECA employees).</w:t>
            </w:r>
          </w:p>
        </w:tc>
      </w:tr>
      <w:bookmarkEnd w:id="3"/>
      <w:tr w:rsidR="00495B3B" w:rsidRPr="00135465" w14:paraId="555B356F" w14:textId="77777777" w:rsidTr="0059130E">
        <w:tc>
          <w:tcPr>
            <w:tcW w:w="3686" w:type="dxa"/>
            <w:tcBorders>
              <w:bottom w:val="single" w:sz="4" w:space="0" w:color="auto"/>
            </w:tcBorders>
            <w:shd w:val="clear" w:color="auto" w:fill="auto"/>
          </w:tcPr>
          <w:p w14:paraId="40B7D38C" w14:textId="36B2E894" w:rsidR="00495B3B" w:rsidRPr="00135465" w:rsidRDefault="00495B3B" w:rsidP="00495B3B">
            <w:pPr>
              <w:spacing w:before="120" w:after="120"/>
              <w:rPr>
                <w:rFonts w:ascii="Arial" w:hAnsi="Arial"/>
                <w:color w:val="1A1A1A"/>
                <w:sz w:val="20"/>
              </w:rPr>
            </w:pPr>
            <w:r w:rsidRPr="00135465">
              <w:rPr>
                <w:rFonts w:ascii="Arial" w:hAnsi="Arial"/>
                <w:color w:val="1A1A1A"/>
                <w:sz w:val="20"/>
              </w:rPr>
              <w:t>Employment terms and conditions</w:t>
            </w:r>
          </w:p>
          <w:p w14:paraId="673B886F" w14:textId="77777777" w:rsidR="00495B3B" w:rsidRPr="00135465" w:rsidRDefault="00495B3B" w:rsidP="00495B3B">
            <w:pPr>
              <w:spacing w:before="120" w:after="120"/>
              <w:rPr>
                <w:rFonts w:ascii="Arial" w:hAnsi="Arial"/>
                <w:color w:val="1A1A1A"/>
                <w:sz w:val="20"/>
              </w:rPr>
            </w:pPr>
          </w:p>
        </w:tc>
        <w:tc>
          <w:tcPr>
            <w:tcW w:w="6519" w:type="dxa"/>
            <w:tcBorders>
              <w:bottom w:val="single" w:sz="4" w:space="0" w:color="auto"/>
            </w:tcBorders>
            <w:shd w:val="clear" w:color="auto" w:fill="auto"/>
          </w:tcPr>
          <w:p w14:paraId="71EDFDB6" w14:textId="32A67779" w:rsidR="00495B3B" w:rsidRPr="00135465" w:rsidRDefault="00495B3B" w:rsidP="00495B3B">
            <w:pPr>
              <w:spacing w:line="240" w:lineRule="auto"/>
              <w:ind w:left="139"/>
              <w:outlineLvl w:val="1"/>
              <w:rPr>
                <w:rFonts w:ascii="Arial" w:hAnsi="Arial" w:cs="Arial"/>
                <w:i/>
                <w:iCs/>
                <w:color w:val="1A1A1A"/>
                <w:sz w:val="20"/>
              </w:rPr>
            </w:pPr>
            <w:r w:rsidRPr="00135465">
              <w:rPr>
                <w:rFonts w:ascii="Arial" w:hAnsi="Arial" w:cs="Arial"/>
                <w:color w:val="1A1A1A"/>
                <w:sz w:val="20"/>
              </w:rPr>
              <w:t xml:space="preserve">Are governed by the </w:t>
            </w:r>
            <w:r w:rsidRPr="00135465">
              <w:rPr>
                <w:rFonts w:ascii="Arial" w:hAnsi="Arial" w:cs="Arial"/>
                <w:i/>
                <w:iCs/>
                <w:color w:val="1A1A1A"/>
                <w:sz w:val="20"/>
              </w:rPr>
              <w:t>Victorian Public Service Enterprise Agreement 202</w:t>
            </w:r>
            <w:r w:rsidR="00E74BF4" w:rsidRPr="00135465">
              <w:rPr>
                <w:rFonts w:ascii="Arial" w:hAnsi="Arial" w:cs="Arial"/>
                <w:i/>
                <w:iCs/>
                <w:color w:val="1A1A1A"/>
                <w:sz w:val="20"/>
              </w:rPr>
              <w:t>4</w:t>
            </w:r>
            <w:r w:rsidRPr="00135465">
              <w:rPr>
                <w:rFonts w:ascii="Arial" w:hAnsi="Arial" w:cs="Arial"/>
                <w:color w:val="1A1A1A"/>
                <w:sz w:val="20"/>
              </w:rPr>
              <w:t xml:space="preserve"> and the </w:t>
            </w:r>
            <w:r w:rsidRPr="00135465">
              <w:rPr>
                <w:rFonts w:ascii="Arial" w:hAnsi="Arial" w:cs="Arial"/>
                <w:i/>
                <w:iCs/>
                <w:color w:val="1A1A1A"/>
                <w:sz w:val="20"/>
              </w:rPr>
              <w:t>Public Administration Act</w:t>
            </w:r>
            <w:r w:rsidRPr="00135465">
              <w:rPr>
                <w:rFonts w:ascii="Arial" w:hAnsi="Arial" w:cs="Arial"/>
                <w:color w:val="1A1A1A"/>
                <w:sz w:val="20"/>
              </w:rPr>
              <w:t xml:space="preserve"> </w:t>
            </w:r>
            <w:r w:rsidRPr="00135465">
              <w:rPr>
                <w:rFonts w:ascii="Arial" w:hAnsi="Arial" w:cs="Arial"/>
                <w:i/>
                <w:iCs/>
                <w:color w:val="1A1A1A"/>
                <w:sz w:val="20"/>
              </w:rPr>
              <w:t>2004.</w:t>
            </w:r>
          </w:p>
          <w:p w14:paraId="522B24D4" w14:textId="77777777" w:rsidR="00495B3B" w:rsidRPr="00135465" w:rsidRDefault="00495B3B" w:rsidP="00495B3B">
            <w:pPr>
              <w:tabs>
                <w:tab w:val="left" w:pos="360"/>
                <w:tab w:val="left" w:pos="720"/>
              </w:tabs>
              <w:autoSpaceDE w:val="0"/>
              <w:autoSpaceDN w:val="0"/>
              <w:adjustRightInd w:val="0"/>
              <w:spacing w:line="240" w:lineRule="auto"/>
              <w:ind w:left="139"/>
              <w:rPr>
                <w:rFonts w:ascii="Arial" w:hAnsi="Arial" w:cs="Arial"/>
                <w:color w:val="1A1A1A"/>
                <w:sz w:val="20"/>
              </w:rPr>
            </w:pPr>
            <w:r w:rsidRPr="00135465">
              <w:rPr>
                <w:rFonts w:ascii="Arial" w:hAnsi="Arial" w:cs="Arial"/>
                <w:color w:val="1A1A1A"/>
                <w:sz w:val="20"/>
              </w:rPr>
              <w:t>Recipients of Victorian Public Service (VPS) voluntary departure packages should note that re-employment restrictions apply</w:t>
            </w:r>
          </w:p>
          <w:p w14:paraId="5C30C0A4" w14:textId="457A6F17" w:rsidR="00495B3B" w:rsidRPr="00135465" w:rsidRDefault="00495B3B" w:rsidP="00495B3B">
            <w:pPr>
              <w:tabs>
                <w:tab w:val="left" w:pos="360"/>
                <w:tab w:val="left" w:pos="720"/>
              </w:tabs>
              <w:autoSpaceDE w:val="0"/>
              <w:autoSpaceDN w:val="0"/>
              <w:adjustRightInd w:val="0"/>
              <w:spacing w:before="120" w:after="120" w:line="240" w:lineRule="auto"/>
              <w:rPr>
                <w:rFonts w:ascii="Arial" w:hAnsi="Arial" w:cs="Arial"/>
                <w:color w:val="1A1A1A"/>
                <w:sz w:val="20"/>
              </w:rPr>
            </w:pPr>
            <w:r w:rsidRPr="00135465">
              <w:rPr>
                <w:rFonts w:ascii="Arial" w:hAnsi="Arial" w:cs="Arial"/>
                <w:color w:val="1A1A1A"/>
                <w:sz w:val="20"/>
              </w:rPr>
              <w:t>Non-</w:t>
            </w:r>
            <w:smartTag w:uri="urn:schemas-microsoft-com:office:smarttags" w:element="stockticker">
              <w:r w:rsidRPr="00135465">
                <w:rPr>
                  <w:rFonts w:ascii="Arial" w:hAnsi="Arial" w:cs="Arial"/>
                  <w:color w:val="1A1A1A"/>
                  <w:sz w:val="20"/>
                </w:rPr>
                <w:t>VPS</w:t>
              </w:r>
            </w:smartTag>
            <w:r w:rsidRPr="00135465">
              <w:rPr>
                <w:rFonts w:ascii="Arial" w:hAnsi="Arial" w:cs="Arial"/>
                <w:color w:val="1A1A1A"/>
                <w:sz w:val="20"/>
              </w:rPr>
              <w:t xml:space="preserve"> applicants will be subject to a probation period of six months</w:t>
            </w:r>
          </w:p>
        </w:tc>
      </w:tr>
      <w:tr w:rsidR="00495B3B" w:rsidRPr="00135465" w14:paraId="10873C64" w14:textId="77777777" w:rsidTr="0059130E">
        <w:tc>
          <w:tcPr>
            <w:tcW w:w="3686" w:type="dxa"/>
            <w:tcBorders>
              <w:top w:val="single" w:sz="4" w:space="0" w:color="auto"/>
              <w:bottom w:val="single" w:sz="4" w:space="0" w:color="auto"/>
            </w:tcBorders>
            <w:shd w:val="clear" w:color="auto" w:fill="auto"/>
          </w:tcPr>
          <w:p w14:paraId="271DC5B5" w14:textId="77777777" w:rsidR="00495B3B" w:rsidRPr="00135465" w:rsidRDefault="00495B3B" w:rsidP="00495B3B">
            <w:pPr>
              <w:spacing w:before="120" w:after="120"/>
              <w:rPr>
                <w:rFonts w:ascii="Arial" w:hAnsi="Arial"/>
                <w:color w:val="1A1A1A"/>
                <w:sz w:val="20"/>
              </w:rPr>
            </w:pPr>
            <w:r w:rsidRPr="00135465">
              <w:rPr>
                <w:rFonts w:ascii="Arial" w:hAnsi="Arial"/>
                <w:color w:val="1A1A1A"/>
                <w:sz w:val="20"/>
              </w:rPr>
              <w:t xml:space="preserve">Privacy </w:t>
            </w:r>
          </w:p>
        </w:tc>
        <w:tc>
          <w:tcPr>
            <w:tcW w:w="6519" w:type="dxa"/>
            <w:tcBorders>
              <w:top w:val="single" w:sz="4" w:space="0" w:color="auto"/>
              <w:bottom w:val="single" w:sz="4" w:space="0" w:color="auto"/>
            </w:tcBorders>
            <w:shd w:val="clear" w:color="auto" w:fill="auto"/>
          </w:tcPr>
          <w:p w14:paraId="3C367730" w14:textId="5052E211" w:rsidR="00495B3B" w:rsidRPr="00135465" w:rsidRDefault="00495B3B" w:rsidP="00495B3B">
            <w:pPr>
              <w:tabs>
                <w:tab w:val="left" w:pos="360"/>
                <w:tab w:val="left" w:pos="720"/>
              </w:tabs>
              <w:autoSpaceDE w:val="0"/>
              <w:autoSpaceDN w:val="0"/>
              <w:adjustRightInd w:val="0"/>
              <w:spacing w:line="240" w:lineRule="auto"/>
              <w:ind w:left="136"/>
              <w:jc w:val="both"/>
              <w:rPr>
                <w:rFonts w:ascii="Arial" w:hAnsi="Arial"/>
                <w:color w:val="1A1A1A"/>
                <w:sz w:val="20"/>
              </w:rPr>
            </w:pPr>
            <w:r w:rsidRPr="00135465">
              <w:rPr>
                <w:rFonts w:ascii="Arial" w:hAnsi="Arial" w:cs="Arial"/>
                <w:color w:val="1A1A1A"/>
                <w:sz w:val="20"/>
              </w:rPr>
              <w:t>The department affirms that the collection and handling of applications</w:t>
            </w:r>
            <w:r w:rsidR="0059130E">
              <w:rPr>
                <w:rFonts w:ascii="Arial" w:hAnsi="Arial" w:cs="Arial"/>
                <w:color w:val="1A1A1A"/>
                <w:sz w:val="20"/>
              </w:rPr>
              <w:t xml:space="preserve"> </w:t>
            </w:r>
            <w:r w:rsidRPr="00135465">
              <w:rPr>
                <w:rFonts w:ascii="Arial" w:hAnsi="Arial" w:cs="Arial"/>
                <w:color w:val="1A1A1A"/>
                <w:sz w:val="20"/>
              </w:rPr>
              <w:t>and personal information will be consistent with the requirements of the Privacy and Data Protection Act 2014.</w:t>
            </w:r>
          </w:p>
        </w:tc>
      </w:tr>
    </w:tbl>
    <w:p w14:paraId="2F24748A" w14:textId="77777777" w:rsidR="00495B3B" w:rsidRPr="00135465" w:rsidRDefault="00495B3B" w:rsidP="00495B3B">
      <w:pPr>
        <w:keepNext/>
        <w:spacing w:before="360" w:line="240" w:lineRule="auto"/>
        <w:rPr>
          <w:rFonts w:ascii="Arial" w:hAnsi="Arial" w:cs="Arial"/>
          <w:bCs/>
          <w:color w:val="442D97"/>
          <w:sz w:val="28"/>
          <w:szCs w:val="28"/>
          <w:lang w:eastAsia="zh-CN"/>
        </w:rPr>
      </w:pPr>
      <w:r w:rsidRPr="00135465">
        <w:rPr>
          <w:rFonts w:ascii="Arial" w:hAnsi="Arial" w:cs="Arial"/>
          <w:bCs/>
          <w:color w:val="442D97"/>
          <w:sz w:val="28"/>
          <w:szCs w:val="28"/>
          <w:lang w:eastAsia="zh-CN"/>
        </w:rPr>
        <w:t>About the Department</w:t>
      </w:r>
    </w:p>
    <w:p w14:paraId="201850E6" w14:textId="77777777" w:rsidR="00454423" w:rsidRPr="00135465" w:rsidRDefault="00454423" w:rsidP="00454423">
      <w:pPr>
        <w:spacing w:before="0" w:after="0"/>
        <w:rPr>
          <w:rFonts w:ascii="Arial" w:hAnsi="Arial" w:cs="Arial"/>
        </w:rPr>
      </w:pPr>
      <w:r w:rsidRPr="00135465">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135465" w:rsidRDefault="00495B3B" w:rsidP="00495B3B">
      <w:pPr>
        <w:spacing w:before="0" w:after="0"/>
        <w:rPr>
          <w:rFonts w:ascii="Arial" w:hAnsi="Arial" w:cs="Arial"/>
        </w:rPr>
      </w:pPr>
      <w:r w:rsidRPr="00135465">
        <w:rPr>
          <w:rFonts w:ascii="Arial" w:hAnsi="Arial" w:cs="Arial"/>
        </w:rPr>
        <w:lastRenderedPageBreak/>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135465" w:rsidRDefault="00495B3B" w:rsidP="00495B3B">
      <w:pPr>
        <w:spacing w:before="0" w:after="0"/>
        <w:rPr>
          <w:rFonts w:ascii="Arial" w:hAnsi="Arial" w:cs="Arial"/>
        </w:rPr>
      </w:pPr>
    </w:p>
    <w:p w14:paraId="357C32F5" w14:textId="4856A6E8" w:rsidR="00495B3B" w:rsidRPr="00135465" w:rsidRDefault="00495B3B" w:rsidP="00495B3B">
      <w:pPr>
        <w:spacing w:before="0" w:after="0" w:line="480" w:lineRule="auto"/>
        <w:rPr>
          <w:rFonts w:ascii="Arial" w:hAnsi="Arial" w:cs="Arial"/>
          <w:lang w:eastAsia="en-US"/>
        </w:rPr>
      </w:pPr>
      <w:r w:rsidRPr="00135465">
        <w:rPr>
          <w:rFonts w:ascii="Arial" w:hAnsi="Arial" w:cs="Arial"/>
          <w:lang w:eastAsia="en-US"/>
        </w:rPr>
        <w:t xml:space="preserve">For further information about the department, please visit our website </w:t>
      </w:r>
      <w:hyperlink r:id="rId26" w:history="1">
        <w:r w:rsidR="008243F7" w:rsidRPr="00135465">
          <w:rPr>
            <w:rStyle w:val="Hyperlink"/>
            <w:rFonts w:ascii="Arial" w:hAnsi="Arial" w:cs="Arial"/>
            <w:lang w:eastAsia="en-US"/>
          </w:rPr>
          <w:t>www.deeca.vic.gov.au</w:t>
        </w:r>
      </w:hyperlink>
    </w:p>
    <w:p w14:paraId="78BBA915" w14:textId="77777777" w:rsidR="00495B3B" w:rsidRPr="00135465" w:rsidRDefault="00495B3B" w:rsidP="00495B3B">
      <w:pPr>
        <w:keepNext/>
        <w:spacing w:before="0" w:line="240" w:lineRule="auto"/>
        <w:rPr>
          <w:rFonts w:ascii="Arial" w:eastAsia="Microsoft JhengHei" w:hAnsi="Arial"/>
          <w:iCs/>
          <w:color w:val="442D97"/>
          <w:spacing w:val="-2"/>
          <w:sz w:val="28"/>
          <w:szCs w:val="24"/>
        </w:rPr>
      </w:pPr>
      <w:r w:rsidRPr="00135465">
        <w:rPr>
          <w:rFonts w:ascii="Arial" w:eastAsia="Microsoft JhengHei" w:hAnsi="Arial"/>
          <w:iCs/>
          <w:color w:val="442D97"/>
          <w:spacing w:val="-2"/>
          <w:sz w:val="28"/>
          <w:szCs w:val="24"/>
        </w:rPr>
        <w:t>Our values</w:t>
      </w:r>
    </w:p>
    <w:p w14:paraId="52C3DE14" w14:textId="77777777" w:rsidR="009D6119" w:rsidRPr="00135465" w:rsidRDefault="00C8238F" w:rsidP="009D6119">
      <w:pPr>
        <w:spacing w:before="0" w:after="0" w:line="240" w:lineRule="auto"/>
        <w:jc w:val="both"/>
        <w:rPr>
          <w:rFonts w:ascii="Arial" w:hAnsi="Arial" w:cs="Arial"/>
        </w:rPr>
      </w:pPr>
      <w:r w:rsidRPr="00135465">
        <w:rPr>
          <w:rFonts w:ascii="Arial" w:hAnsi="Arial" w:cs="Arial"/>
        </w:rPr>
        <w:t xml:space="preserve">Our values align with the core </w:t>
      </w:r>
      <w:hyperlink r:id="rId27" w:history="1">
        <w:r w:rsidRPr="00135465">
          <w:rPr>
            <w:rStyle w:val="Hyperlink"/>
            <w:rFonts w:ascii="Arial" w:hAnsi="Arial" w:cs="Arial"/>
            <w:color w:val="auto"/>
          </w:rPr>
          <w:t>Public Sector values</w:t>
        </w:r>
      </w:hyperlink>
      <w:r w:rsidRPr="00135465">
        <w:rPr>
          <w:rFonts w:ascii="Arial" w:hAnsi="Arial" w:cs="Arial"/>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416B0B5" w14:textId="77777777" w:rsidR="009D6119" w:rsidRPr="00135465" w:rsidRDefault="009D6119" w:rsidP="009D6119">
      <w:pPr>
        <w:spacing w:before="0" w:after="0" w:line="240" w:lineRule="auto"/>
        <w:jc w:val="both"/>
        <w:rPr>
          <w:rFonts w:ascii="Arial" w:hAnsi="Arial" w:cs="Arial"/>
        </w:rPr>
      </w:pPr>
    </w:p>
    <w:p w14:paraId="5AFDDD90" w14:textId="3F2B883F" w:rsidR="00C8238F" w:rsidRPr="00135465" w:rsidRDefault="00C8238F" w:rsidP="009D6119">
      <w:pPr>
        <w:spacing w:before="0" w:after="0" w:line="240" w:lineRule="auto"/>
        <w:jc w:val="both"/>
        <w:rPr>
          <w:rFonts w:ascii="Arial" w:hAnsi="Arial" w:cs="Arial"/>
        </w:rPr>
      </w:pPr>
      <w:r w:rsidRPr="00135465">
        <w:rPr>
          <w:rFonts w:ascii="Arial" w:eastAsia="Microsoft JhengHei" w:hAnsi="Arial"/>
          <w:color w:val="442D97"/>
          <w:sz w:val="28"/>
          <w:szCs w:val="28"/>
        </w:rPr>
        <w:t>Our Community Charter</w:t>
      </w:r>
    </w:p>
    <w:p w14:paraId="25AE49FD" w14:textId="77777777" w:rsidR="0059130E" w:rsidRDefault="0059130E" w:rsidP="00C8238F">
      <w:pPr>
        <w:spacing w:before="0" w:after="0" w:line="240" w:lineRule="auto"/>
        <w:jc w:val="both"/>
        <w:rPr>
          <w:rFonts w:ascii="Arial" w:hAnsi="Arial" w:cs="Arial"/>
        </w:rPr>
      </w:pPr>
    </w:p>
    <w:p w14:paraId="5829D2B9" w14:textId="2D5B613E" w:rsidR="00C8238F" w:rsidRPr="00135465" w:rsidRDefault="00C8238F" w:rsidP="00C8238F">
      <w:pPr>
        <w:spacing w:before="0" w:after="0" w:line="240" w:lineRule="auto"/>
        <w:jc w:val="both"/>
        <w:rPr>
          <w:rFonts w:ascii="Arial" w:hAnsi="Arial" w:cs="Arial"/>
        </w:rPr>
      </w:pPr>
      <w:r w:rsidRPr="00135465">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135465" w:rsidRDefault="00495B3B" w:rsidP="00495B3B">
      <w:pPr>
        <w:keepNext/>
        <w:spacing w:line="240" w:lineRule="auto"/>
        <w:rPr>
          <w:rFonts w:ascii="Arial" w:hAnsi="Arial" w:cs="Arial"/>
          <w:bCs/>
          <w:color w:val="442D97"/>
          <w:sz w:val="28"/>
          <w:szCs w:val="28"/>
          <w:lang w:eastAsia="zh-CN"/>
        </w:rPr>
      </w:pPr>
      <w:r w:rsidRPr="00135465">
        <w:rPr>
          <w:rFonts w:ascii="Arial" w:hAnsi="Arial" w:cs="Arial"/>
          <w:bCs/>
          <w:color w:val="442D97"/>
          <w:sz w:val="28"/>
          <w:szCs w:val="28"/>
          <w:lang w:eastAsia="zh-CN"/>
        </w:rPr>
        <w:t>Emergency Response and Health and Safety Requirements</w:t>
      </w:r>
    </w:p>
    <w:p w14:paraId="6E3541A2" w14:textId="15B01AF9" w:rsidR="00495B3B" w:rsidRPr="00135465" w:rsidRDefault="00495B3B" w:rsidP="00C8238F">
      <w:pPr>
        <w:spacing w:line="240" w:lineRule="auto"/>
        <w:contextualSpacing/>
        <w:outlineLvl w:val="1"/>
        <w:rPr>
          <w:rFonts w:ascii="Arial" w:hAnsi="Arial" w:cs="Arial"/>
          <w:color w:val="363534"/>
        </w:rPr>
      </w:pPr>
      <w:r w:rsidRPr="00135465">
        <w:rPr>
          <w:rFonts w:ascii="Arial" w:hAnsi="Arial" w:cs="Arial"/>
          <w:color w:val="363534"/>
        </w:rPr>
        <w:t>The department</w:t>
      </w:r>
      <w:r w:rsidRPr="00135465">
        <w:rPr>
          <w:rFonts w:ascii="Arial" w:hAnsi="Arial" w:cs="Arial"/>
          <w:b/>
          <w:color w:val="363534"/>
        </w:rPr>
        <w:t xml:space="preserve"> </w:t>
      </w:r>
      <w:r w:rsidRPr="00135465">
        <w:rPr>
          <w:rFonts w:ascii="Arial" w:hAnsi="Arial" w:cs="Arial"/>
          <w:color w:val="363534"/>
        </w:rPr>
        <w:t>plays a major role in Victoria’s emergency response activities, through an all-haz</w:t>
      </w:r>
      <w:r w:rsidRPr="00135465">
        <w:rPr>
          <w:rFonts w:ascii="Arial" w:hAnsi="Arial" w:cs="Arial"/>
        </w:rPr>
        <w:t>ards, all-emergencies approach</w:t>
      </w:r>
      <w:r w:rsidRPr="00135465">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135465" w:rsidRDefault="00C8238F" w:rsidP="00C8238F">
      <w:pPr>
        <w:spacing w:line="240" w:lineRule="auto"/>
        <w:contextualSpacing/>
        <w:outlineLvl w:val="1"/>
        <w:rPr>
          <w:rFonts w:ascii="Arial" w:hAnsi="Arial" w:cs="Arial"/>
          <w:color w:val="363534"/>
        </w:rPr>
      </w:pPr>
    </w:p>
    <w:p w14:paraId="0C23C87C" w14:textId="0570F479" w:rsidR="00495B3B" w:rsidRPr="00135465" w:rsidRDefault="00495B3B" w:rsidP="00C8238F">
      <w:pPr>
        <w:keepNext/>
        <w:spacing w:line="240" w:lineRule="auto"/>
        <w:rPr>
          <w:rFonts w:ascii="Arial" w:hAnsi="Arial" w:cs="Arial"/>
          <w:bCs/>
          <w:color w:val="442D97"/>
          <w:sz w:val="28"/>
          <w:szCs w:val="28"/>
          <w:lang w:eastAsia="zh-CN"/>
        </w:rPr>
      </w:pPr>
      <w:r w:rsidRPr="00135465">
        <w:rPr>
          <w:rFonts w:ascii="Arial" w:hAnsi="Arial" w:cs="Arial"/>
          <w:bCs/>
          <w:color w:val="442D97"/>
          <w:sz w:val="28"/>
          <w:szCs w:val="28"/>
          <w:lang w:eastAsia="zh-CN"/>
        </w:rPr>
        <w:t xml:space="preserve">A Diverse, Inclusive and Flexible Workplace </w:t>
      </w:r>
    </w:p>
    <w:p w14:paraId="53CEEE6C" w14:textId="77777777" w:rsidR="00495B3B" w:rsidRPr="00135465" w:rsidRDefault="00495B3B" w:rsidP="00495B3B">
      <w:pPr>
        <w:spacing w:before="0" w:after="100" w:afterAutospacing="1" w:line="240" w:lineRule="auto"/>
        <w:rPr>
          <w:rFonts w:ascii="Arial" w:hAnsi="Arial" w:cs="Arial"/>
          <w:bCs/>
          <w:color w:val="000000"/>
          <w:szCs w:val="22"/>
        </w:rPr>
      </w:pPr>
      <w:r w:rsidRPr="00135465">
        <w:rPr>
          <w:rFonts w:ascii="Arial" w:hAnsi="Arial" w:cs="Arial"/>
          <w:color w:val="363534"/>
          <w:szCs w:val="22"/>
        </w:rPr>
        <w:t xml:space="preserve">DEECA welcomes applicants from a diverse range of backgrounds </w:t>
      </w:r>
      <w:r w:rsidRPr="00135465">
        <w:rPr>
          <w:rFonts w:ascii="Arial" w:eastAsia="Calibri" w:hAnsi="Arial" w:cs="Arial"/>
          <w:color w:val="363534"/>
          <w:szCs w:val="22"/>
        </w:rPr>
        <w:t xml:space="preserve">and we focus on the essential requirements of the job and being consistent and fair in our treatment of all applicants. </w:t>
      </w:r>
      <w:r w:rsidRPr="00135465">
        <w:rPr>
          <w:rFonts w:ascii="Arial" w:hAnsi="Arial" w:cs="Arial"/>
          <w:bCs/>
          <w:color w:val="000000"/>
          <w:szCs w:val="22"/>
        </w:rPr>
        <w:t>Our diversity and inclusion outcome pillars:</w:t>
      </w:r>
    </w:p>
    <w:p w14:paraId="449D99F9" w14:textId="77777777" w:rsidR="00495B3B" w:rsidRPr="00135465" w:rsidRDefault="00495B3B" w:rsidP="00495B3B">
      <w:pPr>
        <w:spacing w:before="100" w:beforeAutospacing="1" w:after="100" w:afterAutospacing="1" w:line="240" w:lineRule="auto"/>
        <w:rPr>
          <w:rFonts w:ascii="Arial" w:hAnsi="Arial" w:cs="Arial"/>
          <w:color w:val="000000"/>
          <w:szCs w:val="22"/>
        </w:rPr>
      </w:pPr>
      <w:r w:rsidRPr="00135465">
        <w:rPr>
          <w:rFonts w:ascii="Arial" w:hAnsi="Arial" w:cs="Arial"/>
          <w:color w:val="000000"/>
          <w:szCs w:val="22"/>
        </w:rPr>
        <w:t>1. We are connected to liveable, inclusive, sustainable communities</w:t>
      </w:r>
      <w:r w:rsidRPr="00135465">
        <w:rPr>
          <w:rFonts w:ascii="Arial" w:hAnsi="Arial" w:cs="Arial"/>
          <w:color w:val="000000"/>
          <w:szCs w:val="22"/>
        </w:rPr>
        <w:br/>
        <w:t xml:space="preserve">2. We are diverse </w:t>
      </w:r>
      <w:r w:rsidRPr="00135465">
        <w:rPr>
          <w:rFonts w:ascii="Arial" w:hAnsi="Arial" w:cs="Arial"/>
          <w:color w:val="000000"/>
          <w:szCs w:val="22"/>
        </w:rPr>
        <w:br/>
        <w:t xml:space="preserve">3. We are inclusive and flexible </w:t>
      </w:r>
      <w:r w:rsidRPr="00135465">
        <w:rPr>
          <w:rFonts w:ascii="Arial" w:hAnsi="Arial" w:cs="Arial"/>
          <w:color w:val="000000"/>
          <w:szCs w:val="22"/>
        </w:rPr>
        <w:br/>
        <w:t>4. We are safe and respectful</w:t>
      </w:r>
    </w:p>
    <w:p w14:paraId="6D28BF25" w14:textId="77777777" w:rsidR="00495B3B" w:rsidRPr="00135465" w:rsidRDefault="00495B3B" w:rsidP="00495B3B">
      <w:pPr>
        <w:spacing w:before="0" w:after="0"/>
        <w:rPr>
          <w:rFonts w:ascii="Arial" w:hAnsi="Arial" w:cs="Arial"/>
          <w:color w:val="363534"/>
          <w:szCs w:val="22"/>
        </w:rPr>
      </w:pPr>
      <w:r w:rsidRPr="00135465">
        <w:rPr>
          <w:rFonts w:ascii="Arial" w:eastAsia="Calibri" w:hAnsi="Arial" w:cs="Arial"/>
          <w:color w:val="363534"/>
          <w:szCs w:val="22"/>
        </w:rPr>
        <w:t xml:space="preserve">DEECA </w:t>
      </w:r>
      <w:r w:rsidRPr="00135465">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135465" w:rsidRDefault="00495B3B" w:rsidP="00495B3B">
      <w:pPr>
        <w:rPr>
          <w:rFonts w:ascii="Arial" w:hAnsi="Arial" w:cs="Arial"/>
          <w:b/>
          <w:bCs/>
          <w:color w:val="363534"/>
        </w:rPr>
      </w:pPr>
      <w:r w:rsidRPr="00135465">
        <w:rPr>
          <w:rFonts w:ascii="Arial" w:hAnsi="Arial" w:cs="Arial"/>
          <w:b/>
          <w:bCs/>
          <w:color w:val="363534"/>
        </w:rPr>
        <w:t>Aboriginal Cultural Safety</w:t>
      </w:r>
    </w:p>
    <w:p w14:paraId="793507C3" w14:textId="28F55A76" w:rsidR="00495B3B" w:rsidRPr="00135465" w:rsidRDefault="00495B3B" w:rsidP="00495B3B">
      <w:pPr>
        <w:spacing w:before="0" w:after="0"/>
        <w:rPr>
          <w:rFonts w:ascii="Arial" w:hAnsi="Arial" w:cs="Arial"/>
          <w:color w:val="363534"/>
        </w:rPr>
      </w:pPr>
      <w:r w:rsidRPr="00135465">
        <w:rPr>
          <w:rFonts w:ascii="Arial" w:hAnsi="Arial" w:cs="Arial"/>
          <w:color w:val="363534"/>
        </w:rPr>
        <w:t xml:space="preserve">Cultural safety of Traditional Owners and Aboriginal Victorians, as an underpinning principle of self-determination, is embedded in everything we do.  Under the </w:t>
      </w:r>
      <w:r w:rsidRPr="00135465">
        <w:rPr>
          <w:rFonts w:ascii="Arial" w:hAnsi="Arial" w:cs="Arial"/>
        </w:rPr>
        <w:t xml:space="preserve">Aboriginal Cultural Safety Framework </w:t>
      </w:r>
      <w:r w:rsidRPr="00135465">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8" w:history="1">
        <w:r w:rsidR="00D40EAF" w:rsidRPr="00135465">
          <w:rPr>
            <w:rStyle w:val="Hyperlink"/>
            <w:rFonts w:ascii="Arial" w:hAnsi="Arial" w:cs="Arial"/>
          </w:rPr>
          <w:t>self.determination@deeca.vic.gov.au</w:t>
        </w:r>
      </w:hyperlink>
      <w:r w:rsidRPr="00135465">
        <w:rPr>
          <w:rFonts w:ascii="Arial" w:hAnsi="Arial" w:cs="Arial"/>
          <w:color w:val="363534"/>
        </w:rPr>
        <w:t>.</w:t>
      </w:r>
    </w:p>
    <w:p w14:paraId="0277B7AF" w14:textId="77777777" w:rsidR="00495B3B" w:rsidRPr="00135465" w:rsidRDefault="00495B3B" w:rsidP="00495B3B">
      <w:pPr>
        <w:rPr>
          <w:rFonts w:ascii="Arial" w:hAnsi="Arial" w:cs="Arial"/>
          <w:b/>
          <w:color w:val="363534"/>
          <w:szCs w:val="22"/>
        </w:rPr>
      </w:pPr>
      <w:r w:rsidRPr="00135465">
        <w:rPr>
          <w:rFonts w:ascii="Arial" w:hAnsi="Arial" w:cs="Arial"/>
          <w:b/>
          <w:color w:val="363534"/>
          <w:szCs w:val="22"/>
        </w:rPr>
        <w:t>Balancing your Life / Hybrid Working</w:t>
      </w:r>
    </w:p>
    <w:p w14:paraId="45CE6128" w14:textId="77777777" w:rsidR="00495B3B" w:rsidRPr="00135465" w:rsidRDefault="00495B3B" w:rsidP="00495B3B">
      <w:pPr>
        <w:rPr>
          <w:rFonts w:ascii="Arial" w:eastAsia="Calibri" w:hAnsi="Arial" w:cs="Arial"/>
          <w:color w:val="363534"/>
          <w:szCs w:val="22"/>
        </w:rPr>
      </w:pPr>
      <w:r w:rsidRPr="00135465">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2533173C" w:rsidR="00A14A3F" w:rsidRPr="001C0518" w:rsidRDefault="00495B3B" w:rsidP="001C0518">
      <w:pPr>
        <w:spacing w:line="240" w:lineRule="auto"/>
        <w:rPr>
          <w:rFonts w:ascii="Arial" w:eastAsia="Microsoft JhengHei" w:hAnsi="Arial" w:cs="Arial"/>
          <w:sz w:val="22"/>
          <w:szCs w:val="24"/>
          <w:u w:val="single"/>
          <w:lang w:eastAsia="en-US"/>
        </w:rPr>
      </w:pPr>
      <w:r w:rsidRPr="00135465">
        <w:rPr>
          <w:rFonts w:ascii="Arial" w:hAnsi="Arial" w:cs="Arial"/>
          <w:sz w:val="24"/>
          <w:szCs w:val="24"/>
          <w:lang w:eastAsia="en-US"/>
        </w:rPr>
        <w:t>To receive this information in an accessible format (such as large print or audio) please call the Customer Service Centre: 136 186, TTY: 133 677, or email</w:t>
      </w:r>
      <w:r w:rsidRPr="00135465">
        <w:rPr>
          <w:rFonts w:ascii="Arial" w:hAnsi="Arial" w:cs="Arial"/>
          <w:sz w:val="28"/>
          <w:szCs w:val="28"/>
          <w:lang w:eastAsia="en-US"/>
        </w:rPr>
        <w:t xml:space="preserve"> </w:t>
      </w:r>
      <w:hyperlink r:id="rId29" w:history="1">
        <w:r w:rsidR="00D40EAF" w:rsidRPr="00135465">
          <w:rPr>
            <w:rStyle w:val="Hyperlink"/>
            <w:rFonts w:ascii="Arial" w:eastAsia="Microsoft JhengHei" w:hAnsi="Arial" w:cs="Arial"/>
            <w:sz w:val="22"/>
            <w:szCs w:val="24"/>
            <w:lang w:eastAsia="en-US"/>
          </w:rPr>
          <w:t>customer.service@deeca.vic.gov.au</w:t>
        </w:r>
      </w:hyperlink>
    </w:p>
    <w:sectPr w:rsidR="00A14A3F" w:rsidRPr="001C0518" w:rsidSect="00A03B5B">
      <w:headerReference w:type="even" r:id="rId30"/>
      <w:headerReference w:type="default" r:id="rId31"/>
      <w:headerReference w:type="first" r:id="rId32"/>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D4CCF" w14:textId="77777777" w:rsidR="001F0A2C" w:rsidRDefault="001F0A2C" w:rsidP="00CD157B">
      <w:pPr>
        <w:pStyle w:val="NoSpacing"/>
      </w:pPr>
    </w:p>
    <w:p w14:paraId="5BD857D2" w14:textId="77777777" w:rsidR="001F0A2C" w:rsidRDefault="001F0A2C"/>
  </w:endnote>
  <w:endnote w:type="continuationSeparator" w:id="0">
    <w:p w14:paraId="4ED3211D" w14:textId="77777777" w:rsidR="001F0A2C" w:rsidRDefault="001F0A2C" w:rsidP="00CD157B">
      <w:pPr>
        <w:pStyle w:val="NoSpacing"/>
      </w:pPr>
    </w:p>
    <w:p w14:paraId="14AA3380" w14:textId="77777777" w:rsidR="001F0A2C" w:rsidRDefault="001F0A2C"/>
  </w:endnote>
  <w:endnote w:type="continuationNotice" w:id="1">
    <w:p w14:paraId="1E2E5F3D" w14:textId="77777777" w:rsidR="001F0A2C" w:rsidRDefault="001F0A2C" w:rsidP="00CD157B">
      <w:pPr>
        <w:pStyle w:val="NoSpacing"/>
      </w:pPr>
    </w:p>
    <w:p w14:paraId="740863A0" w14:textId="77777777" w:rsidR="001F0A2C" w:rsidRDefault="001F0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3A585" w14:textId="77777777" w:rsidR="001F0A2C" w:rsidRPr="0056073C" w:rsidRDefault="001F0A2C" w:rsidP="005D764F">
      <w:pPr>
        <w:pStyle w:val="FootnoteSeparator"/>
      </w:pPr>
    </w:p>
    <w:p w14:paraId="63F1B867" w14:textId="77777777" w:rsidR="001F0A2C" w:rsidRDefault="001F0A2C"/>
  </w:footnote>
  <w:footnote w:type="continuationSeparator" w:id="0">
    <w:p w14:paraId="6269525F" w14:textId="77777777" w:rsidR="001F0A2C" w:rsidRPr="00CA30B7" w:rsidRDefault="001F0A2C" w:rsidP="006D5A90">
      <w:pPr>
        <w:rPr>
          <w:lang w:val="en-US"/>
        </w:rPr>
      </w:pPr>
      <w:r w:rsidRPr="00CA30B7">
        <w:rPr>
          <w:lang w:val="en-US"/>
        </w:rPr>
        <w:t>_______</w:t>
      </w:r>
    </w:p>
    <w:p w14:paraId="7D89F75A" w14:textId="77777777" w:rsidR="001F0A2C" w:rsidRDefault="001F0A2C"/>
  </w:footnote>
  <w:footnote w:type="continuationNotice" w:id="1">
    <w:p w14:paraId="154F220D" w14:textId="77777777" w:rsidR="001F0A2C" w:rsidRDefault="001F0A2C" w:rsidP="006D5A90"/>
    <w:p w14:paraId="17D9FB7B" w14:textId="77777777" w:rsidR="001F0A2C" w:rsidRDefault="001F0A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67707D1B"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0CCCB7"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5C31A5"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B2662C"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3F5178"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122E5C"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CCDE59"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1527" w14:textId="617C583D" w:rsidR="008D72CB" w:rsidRDefault="008D72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9645" w14:textId="37E50152" w:rsidR="008D72CB" w:rsidRDefault="008D72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7CEB" w14:textId="358DCD37" w:rsidR="008D72CB" w:rsidRDefault="008D72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1C068EE0"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3A9D6F"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6E3445"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EDE62A"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AF20D6"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1DD436"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88CCBC"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FB9A" w14:textId="7A51F76B" w:rsidR="008D72CB" w:rsidRDefault="008D7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ACD5FFC"/>
    <w:multiLevelType w:val="hybridMultilevel"/>
    <w:tmpl w:val="39B89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636E484"/>
    <w:multiLevelType w:val="hybridMultilevel"/>
    <w:tmpl w:val="FFFFFFFF"/>
    <w:lvl w:ilvl="0" w:tplc="82661446">
      <w:start w:val="1"/>
      <w:numFmt w:val="bullet"/>
      <w:lvlText w:val=""/>
      <w:lvlJc w:val="left"/>
      <w:pPr>
        <w:ind w:left="720" w:hanging="360"/>
      </w:pPr>
      <w:rPr>
        <w:rFonts w:ascii="Symbol" w:hAnsi="Symbol" w:hint="default"/>
      </w:rPr>
    </w:lvl>
    <w:lvl w:ilvl="1" w:tplc="4978DBFE">
      <w:start w:val="1"/>
      <w:numFmt w:val="bullet"/>
      <w:lvlText w:val="o"/>
      <w:lvlJc w:val="left"/>
      <w:pPr>
        <w:ind w:left="1440" w:hanging="360"/>
      </w:pPr>
      <w:rPr>
        <w:rFonts w:ascii="Courier New" w:hAnsi="Courier New" w:hint="default"/>
      </w:rPr>
    </w:lvl>
    <w:lvl w:ilvl="2" w:tplc="2E5CD8C4">
      <w:start w:val="1"/>
      <w:numFmt w:val="bullet"/>
      <w:lvlText w:val=""/>
      <w:lvlJc w:val="left"/>
      <w:pPr>
        <w:ind w:left="2160" w:hanging="360"/>
      </w:pPr>
      <w:rPr>
        <w:rFonts w:ascii="Wingdings" w:hAnsi="Wingdings" w:hint="default"/>
      </w:rPr>
    </w:lvl>
    <w:lvl w:ilvl="3" w:tplc="6254C560">
      <w:start w:val="1"/>
      <w:numFmt w:val="bullet"/>
      <w:lvlText w:val=""/>
      <w:lvlJc w:val="left"/>
      <w:pPr>
        <w:ind w:left="2880" w:hanging="360"/>
      </w:pPr>
      <w:rPr>
        <w:rFonts w:ascii="Symbol" w:hAnsi="Symbol" w:hint="default"/>
      </w:rPr>
    </w:lvl>
    <w:lvl w:ilvl="4" w:tplc="A4B2D70A">
      <w:start w:val="1"/>
      <w:numFmt w:val="bullet"/>
      <w:lvlText w:val="o"/>
      <w:lvlJc w:val="left"/>
      <w:pPr>
        <w:ind w:left="3600" w:hanging="360"/>
      </w:pPr>
      <w:rPr>
        <w:rFonts w:ascii="Courier New" w:hAnsi="Courier New" w:hint="default"/>
      </w:rPr>
    </w:lvl>
    <w:lvl w:ilvl="5" w:tplc="2802546A">
      <w:start w:val="1"/>
      <w:numFmt w:val="bullet"/>
      <w:lvlText w:val=""/>
      <w:lvlJc w:val="left"/>
      <w:pPr>
        <w:ind w:left="4320" w:hanging="360"/>
      </w:pPr>
      <w:rPr>
        <w:rFonts w:ascii="Wingdings" w:hAnsi="Wingdings" w:hint="default"/>
      </w:rPr>
    </w:lvl>
    <w:lvl w:ilvl="6" w:tplc="FBA237FC">
      <w:start w:val="1"/>
      <w:numFmt w:val="bullet"/>
      <w:lvlText w:val=""/>
      <w:lvlJc w:val="left"/>
      <w:pPr>
        <w:ind w:left="5040" w:hanging="360"/>
      </w:pPr>
      <w:rPr>
        <w:rFonts w:ascii="Symbol" w:hAnsi="Symbol" w:hint="default"/>
      </w:rPr>
    </w:lvl>
    <w:lvl w:ilvl="7" w:tplc="0C2EA45A">
      <w:start w:val="1"/>
      <w:numFmt w:val="bullet"/>
      <w:lvlText w:val="o"/>
      <w:lvlJc w:val="left"/>
      <w:pPr>
        <w:ind w:left="5760" w:hanging="360"/>
      </w:pPr>
      <w:rPr>
        <w:rFonts w:ascii="Courier New" w:hAnsi="Courier New" w:hint="default"/>
      </w:rPr>
    </w:lvl>
    <w:lvl w:ilvl="8" w:tplc="C4A463BA">
      <w:start w:val="1"/>
      <w:numFmt w:val="bullet"/>
      <w:lvlText w:val=""/>
      <w:lvlJc w:val="left"/>
      <w:pPr>
        <w:ind w:left="6480" w:hanging="360"/>
      </w:pPr>
      <w:rPr>
        <w:rFonts w:ascii="Wingdings" w:hAnsi="Wingdings" w:hint="default"/>
      </w:rPr>
    </w:lvl>
  </w:abstractNum>
  <w:abstractNum w:abstractNumId="1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8EB504C"/>
    <w:multiLevelType w:val="hybridMultilevel"/>
    <w:tmpl w:val="94F4F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0"/>
  </w:num>
  <w:num w:numId="2" w16cid:durableId="170411264">
    <w:abstractNumId w:val="36"/>
  </w:num>
  <w:num w:numId="3" w16cid:durableId="985085104">
    <w:abstractNumId w:val="9"/>
  </w:num>
  <w:num w:numId="4" w16cid:durableId="1872112631">
    <w:abstractNumId w:val="11"/>
  </w:num>
  <w:num w:numId="5" w16cid:durableId="336812815">
    <w:abstractNumId w:val="24"/>
  </w:num>
  <w:num w:numId="6" w16cid:durableId="155153463">
    <w:abstractNumId w:val="0"/>
  </w:num>
  <w:num w:numId="7" w16cid:durableId="1428236886">
    <w:abstractNumId w:val="26"/>
  </w:num>
  <w:num w:numId="8" w16cid:durableId="103154041">
    <w:abstractNumId w:val="28"/>
  </w:num>
  <w:num w:numId="9" w16cid:durableId="1308436166">
    <w:abstractNumId w:val="25"/>
  </w:num>
  <w:num w:numId="10" w16cid:durableId="1335643199">
    <w:abstractNumId w:val="34"/>
  </w:num>
  <w:num w:numId="11" w16cid:durableId="1160577431">
    <w:abstractNumId w:val="27"/>
  </w:num>
  <w:num w:numId="12" w16cid:durableId="1673139647">
    <w:abstractNumId w:val="15"/>
  </w:num>
  <w:num w:numId="13" w16cid:durableId="1742215375">
    <w:abstractNumId w:val="43"/>
  </w:num>
  <w:num w:numId="14" w16cid:durableId="664823544">
    <w:abstractNumId w:val="40"/>
  </w:num>
  <w:num w:numId="15" w16cid:durableId="979774751">
    <w:abstractNumId w:val="12"/>
  </w:num>
  <w:num w:numId="16" w16cid:durableId="729228463">
    <w:abstractNumId w:val="4"/>
  </w:num>
  <w:num w:numId="17" w16cid:durableId="2024476899">
    <w:abstractNumId w:val="16"/>
  </w:num>
  <w:num w:numId="18" w16cid:durableId="1473794528">
    <w:abstractNumId w:val="20"/>
  </w:num>
  <w:num w:numId="19" w16cid:durableId="39046910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17D"/>
    <w:rsid w:val="00001D81"/>
    <w:rsid w:val="00002691"/>
    <w:rsid w:val="00003260"/>
    <w:rsid w:val="000035F6"/>
    <w:rsid w:val="00004327"/>
    <w:rsid w:val="00004810"/>
    <w:rsid w:val="00004A68"/>
    <w:rsid w:val="00004EEE"/>
    <w:rsid w:val="000058A9"/>
    <w:rsid w:val="00005CCD"/>
    <w:rsid w:val="00006884"/>
    <w:rsid w:val="000068CA"/>
    <w:rsid w:val="00006FDF"/>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5F4F"/>
    <w:rsid w:val="000160DB"/>
    <w:rsid w:val="0001645A"/>
    <w:rsid w:val="00016927"/>
    <w:rsid w:val="00016F11"/>
    <w:rsid w:val="000175AB"/>
    <w:rsid w:val="00017A37"/>
    <w:rsid w:val="00017E78"/>
    <w:rsid w:val="000200A9"/>
    <w:rsid w:val="000200C2"/>
    <w:rsid w:val="00020166"/>
    <w:rsid w:val="00020405"/>
    <w:rsid w:val="00020425"/>
    <w:rsid w:val="0002048A"/>
    <w:rsid w:val="00020A83"/>
    <w:rsid w:val="00020D21"/>
    <w:rsid w:val="00021A18"/>
    <w:rsid w:val="00021F22"/>
    <w:rsid w:val="00022FC9"/>
    <w:rsid w:val="0002313E"/>
    <w:rsid w:val="00023619"/>
    <w:rsid w:val="00024DE5"/>
    <w:rsid w:val="00024F9A"/>
    <w:rsid w:val="0002586C"/>
    <w:rsid w:val="000265EA"/>
    <w:rsid w:val="00026CBD"/>
    <w:rsid w:val="00026DA1"/>
    <w:rsid w:val="00026DC2"/>
    <w:rsid w:val="00026F6C"/>
    <w:rsid w:val="000273C5"/>
    <w:rsid w:val="00027E72"/>
    <w:rsid w:val="00030105"/>
    <w:rsid w:val="00030A38"/>
    <w:rsid w:val="0003160B"/>
    <w:rsid w:val="0003300C"/>
    <w:rsid w:val="000332EC"/>
    <w:rsid w:val="000337A3"/>
    <w:rsid w:val="00033956"/>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78C"/>
    <w:rsid w:val="00053C58"/>
    <w:rsid w:val="00053CC3"/>
    <w:rsid w:val="00054A64"/>
    <w:rsid w:val="0005566D"/>
    <w:rsid w:val="0005578D"/>
    <w:rsid w:val="00055A62"/>
    <w:rsid w:val="00056024"/>
    <w:rsid w:val="00056D39"/>
    <w:rsid w:val="000574CC"/>
    <w:rsid w:val="000574DD"/>
    <w:rsid w:val="00057EB4"/>
    <w:rsid w:val="00060B9F"/>
    <w:rsid w:val="000610DD"/>
    <w:rsid w:val="0006141F"/>
    <w:rsid w:val="00062C42"/>
    <w:rsid w:val="000634B5"/>
    <w:rsid w:val="000636FD"/>
    <w:rsid w:val="00063A7B"/>
    <w:rsid w:val="00064148"/>
    <w:rsid w:val="000645D3"/>
    <w:rsid w:val="00064813"/>
    <w:rsid w:val="00064E07"/>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CA5"/>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2F4"/>
    <w:rsid w:val="00077BDB"/>
    <w:rsid w:val="00077D57"/>
    <w:rsid w:val="00080082"/>
    <w:rsid w:val="000804F1"/>
    <w:rsid w:val="000809F5"/>
    <w:rsid w:val="00080B70"/>
    <w:rsid w:val="00081DAB"/>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101"/>
    <w:rsid w:val="000B497E"/>
    <w:rsid w:val="000B51BB"/>
    <w:rsid w:val="000B5385"/>
    <w:rsid w:val="000B59CB"/>
    <w:rsid w:val="000B5AC1"/>
    <w:rsid w:val="000B5B6D"/>
    <w:rsid w:val="000B6237"/>
    <w:rsid w:val="000B6301"/>
    <w:rsid w:val="000B65EE"/>
    <w:rsid w:val="000B6910"/>
    <w:rsid w:val="000B6A5F"/>
    <w:rsid w:val="000B6E1A"/>
    <w:rsid w:val="000B74D9"/>
    <w:rsid w:val="000C02EC"/>
    <w:rsid w:val="000C036C"/>
    <w:rsid w:val="000C043D"/>
    <w:rsid w:val="000C0AF2"/>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3D1"/>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701"/>
    <w:rsid w:val="000F1954"/>
    <w:rsid w:val="000F1B2C"/>
    <w:rsid w:val="000F1D27"/>
    <w:rsid w:val="000F1E52"/>
    <w:rsid w:val="000F26D5"/>
    <w:rsid w:val="000F2AE7"/>
    <w:rsid w:val="000F2BEC"/>
    <w:rsid w:val="000F2FCE"/>
    <w:rsid w:val="000F3362"/>
    <w:rsid w:val="000F372A"/>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C14"/>
    <w:rsid w:val="00102D94"/>
    <w:rsid w:val="00102E6D"/>
    <w:rsid w:val="00103C12"/>
    <w:rsid w:val="001042E1"/>
    <w:rsid w:val="0010455D"/>
    <w:rsid w:val="00104C22"/>
    <w:rsid w:val="0010532E"/>
    <w:rsid w:val="00105C15"/>
    <w:rsid w:val="00105FBE"/>
    <w:rsid w:val="00106BF0"/>
    <w:rsid w:val="00107C8F"/>
    <w:rsid w:val="001102DE"/>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5BCF"/>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40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2DF"/>
    <w:rsid w:val="00134985"/>
    <w:rsid w:val="00135465"/>
    <w:rsid w:val="001359FC"/>
    <w:rsid w:val="00135A21"/>
    <w:rsid w:val="0013609B"/>
    <w:rsid w:val="001369F7"/>
    <w:rsid w:val="00136DBE"/>
    <w:rsid w:val="001378AA"/>
    <w:rsid w:val="00137A24"/>
    <w:rsid w:val="00137E68"/>
    <w:rsid w:val="001406CA"/>
    <w:rsid w:val="001417FF"/>
    <w:rsid w:val="00141DE7"/>
    <w:rsid w:val="00141FDF"/>
    <w:rsid w:val="00142793"/>
    <w:rsid w:val="00142974"/>
    <w:rsid w:val="00143CE6"/>
    <w:rsid w:val="0014423E"/>
    <w:rsid w:val="00144787"/>
    <w:rsid w:val="00144EFB"/>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654"/>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D8A"/>
    <w:rsid w:val="00180E8D"/>
    <w:rsid w:val="00180FF8"/>
    <w:rsid w:val="001811BB"/>
    <w:rsid w:val="001813B0"/>
    <w:rsid w:val="001818D8"/>
    <w:rsid w:val="0018239D"/>
    <w:rsid w:val="00182442"/>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0CA6"/>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062"/>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5F1C"/>
    <w:rsid w:val="001A63B0"/>
    <w:rsid w:val="001A6608"/>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0518"/>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BA6"/>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34C"/>
    <w:rsid w:val="001D5D1A"/>
    <w:rsid w:val="001D5FC7"/>
    <w:rsid w:val="001D6139"/>
    <w:rsid w:val="001D6167"/>
    <w:rsid w:val="001D63D0"/>
    <w:rsid w:val="001D6714"/>
    <w:rsid w:val="001D71E1"/>
    <w:rsid w:val="001D74A8"/>
    <w:rsid w:val="001D76AB"/>
    <w:rsid w:val="001D78C3"/>
    <w:rsid w:val="001E04BC"/>
    <w:rsid w:val="001E04F9"/>
    <w:rsid w:val="001E0766"/>
    <w:rsid w:val="001E0841"/>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2C"/>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BC1"/>
    <w:rsid w:val="00221E74"/>
    <w:rsid w:val="0022211A"/>
    <w:rsid w:val="00222825"/>
    <w:rsid w:val="00222F2D"/>
    <w:rsid w:val="0022327F"/>
    <w:rsid w:val="0022339A"/>
    <w:rsid w:val="002239F4"/>
    <w:rsid w:val="00223C69"/>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570"/>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6E13"/>
    <w:rsid w:val="002671CE"/>
    <w:rsid w:val="0026756C"/>
    <w:rsid w:val="002676DE"/>
    <w:rsid w:val="00267DD0"/>
    <w:rsid w:val="0027011C"/>
    <w:rsid w:val="00270243"/>
    <w:rsid w:val="00270817"/>
    <w:rsid w:val="00270869"/>
    <w:rsid w:val="0027086E"/>
    <w:rsid w:val="00270BA3"/>
    <w:rsid w:val="00271500"/>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4D56"/>
    <w:rsid w:val="002857D1"/>
    <w:rsid w:val="00286CD4"/>
    <w:rsid w:val="00287757"/>
    <w:rsid w:val="00287881"/>
    <w:rsid w:val="00287E0B"/>
    <w:rsid w:val="002901CD"/>
    <w:rsid w:val="002902D6"/>
    <w:rsid w:val="00290712"/>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9B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447"/>
    <w:rsid w:val="002A5F7A"/>
    <w:rsid w:val="002A738D"/>
    <w:rsid w:val="002A73A1"/>
    <w:rsid w:val="002A7ACA"/>
    <w:rsid w:val="002A7D81"/>
    <w:rsid w:val="002A7F43"/>
    <w:rsid w:val="002B0874"/>
    <w:rsid w:val="002B0881"/>
    <w:rsid w:val="002B0D60"/>
    <w:rsid w:val="002B118F"/>
    <w:rsid w:val="002B1D36"/>
    <w:rsid w:val="002B23F8"/>
    <w:rsid w:val="002B270E"/>
    <w:rsid w:val="002B3A66"/>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2A4"/>
    <w:rsid w:val="002D1598"/>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6A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8F7"/>
    <w:rsid w:val="002F2A86"/>
    <w:rsid w:val="002F2DC3"/>
    <w:rsid w:val="002F3731"/>
    <w:rsid w:val="002F41ED"/>
    <w:rsid w:val="002F4C0A"/>
    <w:rsid w:val="002F5105"/>
    <w:rsid w:val="002F5718"/>
    <w:rsid w:val="002F647B"/>
    <w:rsid w:val="002F6CE5"/>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6B27"/>
    <w:rsid w:val="00307DFA"/>
    <w:rsid w:val="0031041C"/>
    <w:rsid w:val="0031053E"/>
    <w:rsid w:val="00310BAC"/>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48C4"/>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E53"/>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0B6"/>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C07"/>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73F"/>
    <w:rsid w:val="00396C39"/>
    <w:rsid w:val="00396D03"/>
    <w:rsid w:val="003970D2"/>
    <w:rsid w:val="003972D7"/>
    <w:rsid w:val="003972DF"/>
    <w:rsid w:val="003975FB"/>
    <w:rsid w:val="003978F8"/>
    <w:rsid w:val="003A040B"/>
    <w:rsid w:val="003A042A"/>
    <w:rsid w:val="003A1206"/>
    <w:rsid w:val="003A2237"/>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43E"/>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409"/>
    <w:rsid w:val="003C24B7"/>
    <w:rsid w:val="003C25F9"/>
    <w:rsid w:val="003C2BDA"/>
    <w:rsid w:val="003C2C0D"/>
    <w:rsid w:val="003C2C66"/>
    <w:rsid w:val="003C300B"/>
    <w:rsid w:val="003C30EC"/>
    <w:rsid w:val="003C3225"/>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4BB"/>
    <w:rsid w:val="003D6672"/>
    <w:rsid w:val="003D66C9"/>
    <w:rsid w:val="003D67EE"/>
    <w:rsid w:val="003D6A2F"/>
    <w:rsid w:val="003D70B4"/>
    <w:rsid w:val="003D70C8"/>
    <w:rsid w:val="003E00FF"/>
    <w:rsid w:val="003E016E"/>
    <w:rsid w:val="003E07D5"/>
    <w:rsid w:val="003E0F81"/>
    <w:rsid w:val="003E11F5"/>
    <w:rsid w:val="003E13FE"/>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6EC"/>
    <w:rsid w:val="003E688A"/>
    <w:rsid w:val="003E6915"/>
    <w:rsid w:val="003E7083"/>
    <w:rsid w:val="003E7163"/>
    <w:rsid w:val="003E7911"/>
    <w:rsid w:val="003E7DAE"/>
    <w:rsid w:val="003F009A"/>
    <w:rsid w:val="003F065A"/>
    <w:rsid w:val="003F0C2C"/>
    <w:rsid w:val="003F0C6C"/>
    <w:rsid w:val="003F1720"/>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5BC"/>
    <w:rsid w:val="00412A85"/>
    <w:rsid w:val="00413AAE"/>
    <w:rsid w:val="00414C7D"/>
    <w:rsid w:val="00414F4F"/>
    <w:rsid w:val="00415B2D"/>
    <w:rsid w:val="00415D09"/>
    <w:rsid w:val="00416026"/>
    <w:rsid w:val="00416180"/>
    <w:rsid w:val="00416661"/>
    <w:rsid w:val="00416B32"/>
    <w:rsid w:val="00416FC0"/>
    <w:rsid w:val="00417039"/>
    <w:rsid w:val="00417333"/>
    <w:rsid w:val="00417630"/>
    <w:rsid w:val="004178B0"/>
    <w:rsid w:val="00417BBD"/>
    <w:rsid w:val="00417EBE"/>
    <w:rsid w:val="00420898"/>
    <w:rsid w:val="004222DD"/>
    <w:rsid w:val="0042392C"/>
    <w:rsid w:val="00423BC4"/>
    <w:rsid w:val="00423F1F"/>
    <w:rsid w:val="0042404A"/>
    <w:rsid w:val="00424085"/>
    <w:rsid w:val="004244A5"/>
    <w:rsid w:val="004247A7"/>
    <w:rsid w:val="004247BA"/>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5A8"/>
    <w:rsid w:val="00445724"/>
    <w:rsid w:val="00445B0B"/>
    <w:rsid w:val="0044611A"/>
    <w:rsid w:val="00446391"/>
    <w:rsid w:val="00446B9A"/>
    <w:rsid w:val="00447172"/>
    <w:rsid w:val="00447AA7"/>
    <w:rsid w:val="004502DD"/>
    <w:rsid w:val="004502FC"/>
    <w:rsid w:val="00450439"/>
    <w:rsid w:val="0045185B"/>
    <w:rsid w:val="00451D86"/>
    <w:rsid w:val="004521BF"/>
    <w:rsid w:val="00452294"/>
    <w:rsid w:val="00452568"/>
    <w:rsid w:val="00452C67"/>
    <w:rsid w:val="00453216"/>
    <w:rsid w:val="00453399"/>
    <w:rsid w:val="004536F4"/>
    <w:rsid w:val="0045376B"/>
    <w:rsid w:val="00453B3B"/>
    <w:rsid w:val="00453FB6"/>
    <w:rsid w:val="004540FC"/>
    <w:rsid w:val="00454104"/>
    <w:rsid w:val="00454423"/>
    <w:rsid w:val="004544DC"/>
    <w:rsid w:val="004546C8"/>
    <w:rsid w:val="004547DD"/>
    <w:rsid w:val="00454D17"/>
    <w:rsid w:val="00454E6C"/>
    <w:rsid w:val="004551B7"/>
    <w:rsid w:val="004551D3"/>
    <w:rsid w:val="0045545D"/>
    <w:rsid w:val="00455905"/>
    <w:rsid w:val="00455994"/>
    <w:rsid w:val="00455FB7"/>
    <w:rsid w:val="004565E0"/>
    <w:rsid w:val="00456F3C"/>
    <w:rsid w:val="0045706A"/>
    <w:rsid w:val="00457877"/>
    <w:rsid w:val="00457963"/>
    <w:rsid w:val="0045796F"/>
    <w:rsid w:val="00460B70"/>
    <w:rsid w:val="00460EB8"/>
    <w:rsid w:val="00461991"/>
    <w:rsid w:val="004620C7"/>
    <w:rsid w:val="0046288A"/>
    <w:rsid w:val="00462C55"/>
    <w:rsid w:val="00463436"/>
    <w:rsid w:val="00463E1E"/>
    <w:rsid w:val="0046413C"/>
    <w:rsid w:val="004646F8"/>
    <w:rsid w:val="00464A44"/>
    <w:rsid w:val="0046505F"/>
    <w:rsid w:val="00465844"/>
    <w:rsid w:val="004658A0"/>
    <w:rsid w:val="00465F13"/>
    <w:rsid w:val="00466199"/>
    <w:rsid w:val="00466226"/>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512"/>
    <w:rsid w:val="00473E66"/>
    <w:rsid w:val="00474212"/>
    <w:rsid w:val="004744DC"/>
    <w:rsid w:val="00475145"/>
    <w:rsid w:val="00475624"/>
    <w:rsid w:val="00475C60"/>
    <w:rsid w:val="00475F2F"/>
    <w:rsid w:val="00476141"/>
    <w:rsid w:val="00476168"/>
    <w:rsid w:val="00477040"/>
    <w:rsid w:val="0047772C"/>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14E"/>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1E1B"/>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A7C4E"/>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36F"/>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6E3"/>
    <w:rsid w:val="004D17F8"/>
    <w:rsid w:val="004D203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1F9A"/>
    <w:rsid w:val="004F22E4"/>
    <w:rsid w:val="004F28B3"/>
    <w:rsid w:val="004F2B70"/>
    <w:rsid w:val="004F34DC"/>
    <w:rsid w:val="004F44A9"/>
    <w:rsid w:val="004F5359"/>
    <w:rsid w:val="004F5DB0"/>
    <w:rsid w:val="004F5FD5"/>
    <w:rsid w:val="004F6047"/>
    <w:rsid w:val="004F672A"/>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8FA"/>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B65"/>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9E4"/>
    <w:rsid w:val="00534DA9"/>
    <w:rsid w:val="0053503C"/>
    <w:rsid w:val="0053519F"/>
    <w:rsid w:val="00535382"/>
    <w:rsid w:val="005356D1"/>
    <w:rsid w:val="0053596A"/>
    <w:rsid w:val="00536AB5"/>
    <w:rsid w:val="0053703D"/>
    <w:rsid w:val="005370D3"/>
    <w:rsid w:val="00537114"/>
    <w:rsid w:val="00537C89"/>
    <w:rsid w:val="00537ED0"/>
    <w:rsid w:val="00541204"/>
    <w:rsid w:val="00541713"/>
    <w:rsid w:val="005418EF"/>
    <w:rsid w:val="00541BB2"/>
    <w:rsid w:val="00542301"/>
    <w:rsid w:val="00542303"/>
    <w:rsid w:val="005423F5"/>
    <w:rsid w:val="00542498"/>
    <w:rsid w:val="00542CF4"/>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AD0"/>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30E"/>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730"/>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1BF5"/>
    <w:rsid w:val="005B280F"/>
    <w:rsid w:val="005B32A2"/>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262"/>
    <w:rsid w:val="005C1711"/>
    <w:rsid w:val="005C19D6"/>
    <w:rsid w:val="005C1E38"/>
    <w:rsid w:val="005C2245"/>
    <w:rsid w:val="005C2844"/>
    <w:rsid w:val="005C30FD"/>
    <w:rsid w:val="005C3285"/>
    <w:rsid w:val="005C370C"/>
    <w:rsid w:val="005C3AFE"/>
    <w:rsid w:val="005C3EF5"/>
    <w:rsid w:val="005C3EFB"/>
    <w:rsid w:val="005C414A"/>
    <w:rsid w:val="005C46EC"/>
    <w:rsid w:val="005C48BC"/>
    <w:rsid w:val="005C4A6F"/>
    <w:rsid w:val="005C4B58"/>
    <w:rsid w:val="005C565E"/>
    <w:rsid w:val="005C5889"/>
    <w:rsid w:val="005C5950"/>
    <w:rsid w:val="005C5E94"/>
    <w:rsid w:val="005C5F79"/>
    <w:rsid w:val="005C62F6"/>
    <w:rsid w:val="005C7C99"/>
    <w:rsid w:val="005C7F4C"/>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B2F"/>
    <w:rsid w:val="005E4EEA"/>
    <w:rsid w:val="005E5301"/>
    <w:rsid w:val="005E6040"/>
    <w:rsid w:val="005E660A"/>
    <w:rsid w:val="005E69D4"/>
    <w:rsid w:val="005E7A2A"/>
    <w:rsid w:val="005E7E31"/>
    <w:rsid w:val="005F0A4C"/>
    <w:rsid w:val="005F0D4F"/>
    <w:rsid w:val="005F15E0"/>
    <w:rsid w:val="005F1870"/>
    <w:rsid w:val="005F187E"/>
    <w:rsid w:val="005F2636"/>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DE1"/>
    <w:rsid w:val="00622E29"/>
    <w:rsid w:val="00623492"/>
    <w:rsid w:val="00623786"/>
    <w:rsid w:val="00624360"/>
    <w:rsid w:val="0062488E"/>
    <w:rsid w:val="0062553A"/>
    <w:rsid w:val="0062575A"/>
    <w:rsid w:val="006259E7"/>
    <w:rsid w:val="00625EF4"/>
    <w:rsid w:val="00626215"/>
    <w:rsid w:val="00627DAE"/>
    <w:rsid w:val="00630C13"/>
    <w:rsid w:val="006310C1"/>
    <w:rsid w:val="006318D6"/>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9F"/>
    <w:rsid w:val="006452A9"/>
    <w:rsid w:val="006453EB"/>
    <w:rsid w:val="00647093"/>
    <w:rsid w:val="00647149"/>
    <w:rsid w:val="006471EC"/>
    <w:rsid w:val="006473C2"/>
    <w:rsid w:val="0064755D"/>
    <w:rsid w:val="00647F32"/>
    <w:rsid w:val="00650231"/>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35C"/>
    <w:rsid w:val="0065667C"/>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AC"/>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7CA"/>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074D"/>
    <w:rsid w:val="006816E7"/>
    <w:rsid w:val="006828B9"/>
    <w:rsid w:val="00682AC9"/>
    <w:rsid w:val="00682B18"/>
    <w:rsid w:val="006838F2"/>
    <w:rsid w:val="006846EA"/>
    <w:rsid w:val="00684E34"/>
    <w:rsid w:val="00684FD1"/>
    <w:rsid w:val="006851BF"/>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7157"/>
    <w:rsid w:val="006A04A6"/>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1F1"/>
    <w:rsid w:val="006B6653"/>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192F"/>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501D"/>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0E54"/>
    <w:rsid w:val="007113ED"/>
    <w:rsid w:val="007117A9"/>
    <w:rsid w:val="00712157"/>
    <w:rsid w:val="00712433"/>
    <w:rsid w:val="00712590"/>
    <w:rsid w:val="00712C1D"/>
    <w:rsid w:val="00712C3E"/>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091"/>
    <w:rsid w:val="00717478"/>
    <w:rsid w:val="0071774E"/>
    <w:rsid w:val="007200F0"/>
    <w:rsid w:val="0072069D"/>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7B"/>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28"/>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13A"/>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54F"/>
    <w:rsid w:val="007A6721"/>
    <w:rsid w:val="007A69E1"/>
    <w:rsid w:val="007A6F5D"/>
    <w:rsid w:val="007A74BE"/>
    <w:rsid w:val="007B02E3"/>
    <w:rsid w:val="007B0AAB"/>
    <w:rsid w:val="007B0B3D"/>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66A"/>
    <w:rsid w:val="007B7A82"/>
    <w:rsid w:val="007C1560"/>
    <w:rsid w:val="007C184A"/>
    <w:rsid w:val="007C208D"/>
    <w:rsid w:val="007C22E7"/>
    <w:rsid w:val="007C3198"/>
    <w:rsid w:val="007C3866"/>
    <w:rsid w:val="007C42C1"/>
    <w:rsid w:val="007C4DBF"/>
    <w:rsid w:val="007C5053"/>
    <w:rsid w:val="007C6265"/>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1E2F"/>
    <w:rsid w:val="007F2A15"/>
    <w:rsid w:val="007F2AD9"/>
    <w:rsid w:val="007F2E8A"/>
    <w:rsid w:val="007F30EA"/>
    <w:rsid w:val="007F3358"/>
    <w:rsid w:val="007F360E"/>
    <w:rsid w:val="007F3BE7"/>
    <w:rsid w:val="007F4196"/>
    <w:rsid w:val="007F4C8C"/>
    <w:rsid w:val="007F592D"/>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5F39"/>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02C"/>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3E6"/>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0F86"/>
    <w:rsid w:val="008717E0"/>
    <w:rsid w:val="008719A5"/>
    <w:rsid w:val="00871A0B"/>
    <w:rsid w:val="008725EE"/>
    <w:rsid w:val="00872D01"/>
    <w:rsid w:val="008731BA"/>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0C8"/>
    <w:rsid w:val="008963EF"/>
    <w:rsid w:val="00896F15"/>
    <w:rsid w:val="0089732D"/>
    <w:rsid w:val="008973C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E66"/>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49D"/>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34C"/>
    <w:rsid w:val="008D29F7"/>
    <w:rsid w:val="008D2A7D"/>
    <w:rsid w:val="008D2B7D"/>
    <w:rsid w:val="008D2D24"/>
    <w:rsid w:val="008D348D"/>
    <w:rsid w:val="008D3806"/>
    <w:rsid w:val="008D3F70"/>
    <w:rsid w:val="008D4B4E"/>
    <w:rsid w:val="008D53CB"/>
    <w:rsid w:val="008D5739"/>
    <w:rsid w:val="008D5D50"/>
    <w:rsid w:val="008D61C6"/>
    <w:rsid w:val="008D6CEE"/>
    <w:rsid w:val="008D72CB"/>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BE2"/>
    <w:rsid w:val="008E6512"/>
    <w:rsid w:val="008E6956"/>
    <w:rsid w:val="008E7175"/>
    <w:rsid w:val="008E7E66"/>
    <w:rsid w:val="008F02F8"/>
    <w:rsid w:val="008F0D99"/>
    <w:rsid w:val="008F113A"/>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3305"/>
    <w:rsid w:val="009042E1"/>
    <w:rsid w:val="00904B85"/>
    <w:rsid w:val="00905833"/>
    <w:rsid w:val="00906019"/>
    <w:rsid w:val="0090660F"/>
    <w:rsid w:val="00906923"/>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7CE"/>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596"/>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34F"/>
    <w:rsid w:val="009425B4"/>
    <w:rsid w:val="0094289B"/>
    <w:rsid w:val="0094313E"/>
    <w:rsid w:val="009435EC"/>
    <w:rsid w:val="0094398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7F4"/>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86D"/>
    <w:rsid w:val="00990D01"/>
    <w:rsid w:val="00990EE2"/>
    <w:rsid w:val="00991C1B"/>
    <w:rsid w:val="009921E9"/>
    <w:rsid w:val="0099276A"/>
    <w:rsid w:val="00992C1A"/>
    <w:rsid w:val="0099382F"/>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771"/>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3D31"/>
    <w:rsid w:val="009C46F8"/>
    <w:rsid w:val="009C4885"/>
    <w:rsid w:val="009C5D3E"/>
    <w:rsid w:val="009C6B5A"/>
    <w:rsid w:val="009C7624"/>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119"/>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3DEB"/>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2A"/>
    <w:rsid w:val="009F2537"/>
    <w:rsid w:val="009F28C7"/>
    <w:rsid w:val="009F3862"/>
    <w:rsid w:val="009F387A"/>
    <w:rsid w:val="009F3897"/>
    <w:rsid w:val="009F493F"/>
    <w:rsid w:val="009F5E66"/>
    <w:rsid w:val="009F5FBA"/>
    <w:rsid w:val="009F6066"/>
    <w:rsid w:val="009F60EB"/>
    <w:rsid w:val="009F6867"/>
    <w:rsid w:val="009F6AA5"/>
    <w:rsid w:val="009F7A8D"/>
    <w:rsid w:val="009F7F58"/>
    <w:rsid w:val="00A00C65"/>
    <w:rsid w:val="00A010A7"/>
    <w:rsid w:val="00A016AF"/>
    <w:rsid w:val="00A029F4"/>
    <w:rsid w:val="00A02D2A"/>
    <w:rsid w:val="00A031BA"/>
    <w:rsid w:val="00A037E2"/>
    <w:rsid w:val="00A03B5B"/>
    <w:rsid w:val="00A059B5"/>
    <w:rsid w:val="00A05B0B"/>
    <w:rsid w:val="00A06056"/>
    <w:rsid w:val="00A0688C"/>
    <w:rsid w:val="00A07CED"/>
    <w:rsid w:val="00A10499"/>
    <w:rsid w:val="00A1198A"/>
    <w:rsid w:val="00A120F3"/>
    <w:rsid w:val="00A12E40"/>
    <w:rsid w:val="00A13BA1"/>
    <w:rsid w:val="00A13CEB"/>
    <w:rsid w:val="00A1473C"/>
    <w:rsid w:val="00A14905"/>
    <w:rsid w:val="00A14A3F"/>
    <w:rsid w:val="00A1573D"/>
    <w:rsid w:val="00A1582B"/>
    <w:rsid w:val="00A158EC"/>
    <w:rsid w:val="00A158FD"/>
    <w:rsid w:val="00A1606D"/>
    <w:rsid w:val="00A163FA"/>
    <w:rsid w:val="00A1773F"/>
    <w:rsid w:val="00A20514"/>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5F"/>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4546"/>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8CC"/>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3DC2"/>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02B"/>
    <w:rsid w:val="00A878F9"/>
    <w:rsid w:val="00A87D1B"/>
    <w:rsid w:val="00A90568"/>
    <w:rsid w:val="00A91763"/>
    <w:rsid w:val="00A9194C"/>
    <w:rsid w:val="00A91D05"/>
    <w:rsid w:val="00A92894"/>
    <w:rsid w:val="00A9322E"/>
    <w:rsid w:val="00A93280"/>
    <w:rsid w:val="00A934FE"/>
    <w:rsid w:val="00A935BE"/>
    <w:rsid w:val="00A936DB"/>
    <w:rsid w:val="00A94064"/>
    <w:rsid w:val="00A94789"/>
    <w:rsid w:val="00A9596E"/>
    <w:rsid w:val="00A959EC"/>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E4A"/>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9BA"/>
    <w:rsid w:val="00AD7B8D"/>
    <w:rsid w:val="00AE0775"/>
    <w:rsid w:val="00AE1158"/>
    <w:rsid w:val="00AE11D3"/>
    <w:rsid w:val="00AE11DB"/>
    <w:rsid w:val="00AE11FA"/>
    <w:rsid w:val="00AE1262"/>
    <w:rsid w:val="00AE1314"/>
    <w:rsid w:val="00AE14B1"/>
    <w:rsid w:val="00AE1838"/>
    <w:rsid w:val="00AE1DAD"/>
    <w:rsid w:val="00AE1EA0"/>
    <w:rsid w:val="00AE209D"/>
    <w:rsid w:val="00AE324B"/>
    <w:rsid w:val="00AE3D93"/>
    <w:rsid w:val="00AE4ABE"/>
    <w:rsid w:val="00AE4D23"/>
    <w:rsid w:val="00AE5749"/>
    <w:rsid w:val="00AE599C"/>
    <w:rsid w:val="00AE5BE7"/>
    <w:rsid w:val="00AE5FD3"/>
    <w:rsid w:val="00AE6099"/>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1A4"/>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46E"/>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69EA"/>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6CA4"/>
    <w:rsid w:val="00B47309"/>
    <w:rsid w:val="00B47812"/>
    <w:rsid w:val="00B50779"/>
    <w:rsid w:val="00B50821"/>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77C3E"/>
    <w:rsid w:val="00B803CA"/>
    <w:rsid w:val="00B80833"/>
    <w:rsid w:val="00B80A33"/>
    <w:rsid w:val="00B80DBC"/>
    <w:rsid w:val="00B80E61"/>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886"/>
    <w:rsid w:val="00BA4ED5"/>
    <w:rsid w:val="00BA5B65"/>
    <w:rsid w:val="00BA5B6C"/>
    <w:rsid w:val="00BA64BE"/>
    <w:rsid w:val="00BA6E77"/>
    <w:rsid w:val="00BA7064"/>
    <w:rsid w:val="00BA77B4"/>
    <w:rsid w:val="00BA7B37"/>
    <w:rsid w:val="00BB0579"/>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142"/>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48"/>
    <w:rsid w:val="00BC62FE"/>
    <w:rsid w:val="00BC6622"/>
    <w:rsid w:val="00BC674F"/>
    <w:rsid w:val="00BC69FC"/>
    <w:rsid w:val="00BC6D91"/>
    <w:rsid w:val="00BC79F3"/>
    <w:rsid w:val="00BD054B"/>
    <w:rsid w:val="00BD165F"/>
    <w:rsid w:val="00BD17E8"/>
    <w:rsid w:val="00BD1E9F"/>
    <w:rsid w:val="00BD26B3"/>
    <w:rsid w:val="00BD3600"/>
    <w:rsid w:val="00BD388F"/>
    <w:rsid w:val="00BD47A8"/>
    <w:rsid w:val="00BD4C56"/>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2953"/>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C77"/>
    <w:rsid w:val="00C20DFF"/>
    <w:rsid w:val="00C211A5"/>
    <w:rsid w:val="00C21383"/>
    <w:rsid w:val="00C2138A"/>
    <w:rsid w:val="00C213EE"/>
    <w:rsid w:val="00C21669"/>
    <w:rsid w:val="00C2275B"/>
    <w:rsid w:val="00C22A9A"/>
    <w:rsid w:val="00C22C3C"/>
    <w:rsid w:val="00C238E7"/>
    <w:rsid w:val="00C23914"/>
    <w:rsid w:val="00C2398B"/>
    <w:rsid w:val="00C239AC"/>
    <w:rsid w:val="00C239E1"/>
    <w:rsid w:val="00C23E3A"/>
    <w:rsid w:val="00C24B0B"/>
    <w:rsid w:val="00C24F9C"/>
    <w:rsid w:val="00C25099"/>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3F0A"/>
    <w:rsid w:val="00C34819"/>
    <w:rsid w:val="00C35328"/>
    <w:rsid w:val="00C353D3"/>
    <w:rsid w:val="00C35BA8"/>
    <w:rsid w:val="00C3647A"/>
    <w:rsid w:val="00C365A3"/>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BF"/>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3D0C"/>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97DD1"/>
    <w:rsid w:val="00CA0B6D"/>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7BE"/>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6853"/>
    <w:rsid w:val="00CD73C1"/>
    <w:rsid w:val="00CD7E51"/>
    <w:rsid w:val="00CD7E93"/>
    <w:rsid w:val="00CD7ED1"/>
    <w:rsid w:val="00CE0671"/>
    <w:rsid w:val="00CE0AEB"/>
    <w:rsid w:val="00CE0C94"/>
    <w:rsid w:val="00CE0D01"/>
    <w:rsid w:val="00CE156E"/>
    <w:rsid w:val="00CE1759"/>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6C5"/>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297"/>
    <w:rsid w:val="00D437EF"/>
    <w:rsid w:val="00D43D10"/>
    <w:rsid w:val="00D45815"/>
    <w:rsid w:val="00D45E0D"/>
    <w:rsid w:val="00D45FE2"/>
    <w:rsid w:val="00D46335"/>
    <w:rsid w:val="00D4671B"/>
    <w:rsid w:val="00D4710B"/>
    <w:rsid w:val="00D47E5F"/>
    <w:rsid w:val="00D50585"/>
    <w:rsid w:val="00D517A7"/>
    <w:rsid w:val="00D5184A"/>
    <w:rsid w:val="00D51E2C"/>
    <w:rsid w:val="00D52335"/>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3E5"/>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5CEC"/>
    <w:rsid w:val="00D6600F"/>
    <w:rsid w:val="00D66682"/>
    <w:rsid w:val="00D6680B"/>
    <w:rsid w:val="00D67A05"/>
    <w:rsid w:val="00D716F8"/>
    <w:rsid w:val="00D719F8"/>
    <w:rsid w:val="00D71DCF"/>
    <w:rsid w:val="00D725F5"/>
    <w:rsid w:val="00D7293C"/>
    <w:rsid w:val="00D72CD7"/>
    <w:rsid w:val="00D72DAB"/>
    <w:rsid w:val="00D739C2"/>
    <w:rsid w:val="00D741BC"/>
    <w:rsid w:val="00D7477B"/>
    <w:rsid w:val="00D7487A"/>
    <w:rsid w:val="00D74AE4"/>
    <w:rsid w:val="00D74F95"/>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34"/>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562"/>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50F"/>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40F"/>
    <w:rsid w:val="00DE657F"/>
    <w:rsid w:val="00DE6A15"/>
    <w:rsid w:val="00DE734F"/>
    <w:rsid w:val="00DF0806"/>
    <w:rsid w:val="00DF0883"/>
    <w:rsid w:val="00DF0A0D"/>
    <w:rsid w:val="00DF0E92"/>
    <w:rsid w:val="00DF1111"/>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A4F"/>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ADE"/>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2A79"/>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321"/>
    <w:rsid w:val="00E33E05"/>
    <w:rsid w:val="00E33E6A"/>
    <w:rsid w:val="00E348D9"/>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E4E"/>
    <w:rsid w:val="00E46E87"/>
    <w:rsid w:val="00E46F8B"/>
    <w:rsid w:val="00E470F3"/>
    <w:rsid w:val="00E47100"/>
    <w:rsid w:val="00E4770F"/>
    <w:rsid w:val="00E4790E"/>
    <w:rsid w:val="00E50382"/>
    <w:rsid w:val="00E50E19"/>
    <w:rsid w:val="00E50F38"/>
    <w:rsid w:val="00E514E3"/>
    <w:rsid w:val="00E5184B"/>
    <w:rsid w:val="00E51AF9"/>
    <w:rsid w:val="00E51E17"/>
    <w:rsid w:val="00E5234E"/>
    <w:rsid w:val="00E53ADF"/>
    <w:rsid w:val="00E53BCD"/>
    <w:rsid w:val="00E5409A"/>
    <w:rsid w:val="00E54D85"/>
    <w:rsid w:val="00E55396"/>
    <w:rsid w:val="00E568DE"/>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8C6"/>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690D"/>
    <w:rsid w:val="00E870C7"/>
    <w:rsid w:val="00E879DA"/>
    <w:rsid w:val="00E87A70"/>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4AC9"/>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5B0"/>
    <w:rsid w:val="00EB46A3"/>
    <w:rsid w:val="00EB55A7"/>
    <w:rsid w:val="00EB591A"/>
    <w:rsid w:val="00EB5A3D"/>
    <w:rsid w:val="00EB611E"/>
    <w:rsid w:val="00EB72BC"/>
    <w:rsid w:val="00EB733C"/>
    <w:rsid w:val="00EB7629"/>
    <w:rsid w:val="00EB7EF0"/>
    <w:rsid w:val="00EB7EF1"/>
    <w:rsid w:val="00EC033D"/>
    <w:rsid w:val="00EC092D"/>
    <w:rsid w:val="00EC096C"/>
    <w:rsid w:val="00EC227A"/>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3D7E"/>
    <w:rsid w:val="00ED4CF4"/>
    <w:rsid w:val="00ED5109"/>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1E"/>
    <w:rsid w:val="00EF2C83"/>
    <w:rsid w:val="00EF2DB4"/>
    <w:rsid w:val="00EF2E32"/>
    <w:rsid w:val="00EF2F56"/>
    <w:rsid w:val="00EF32AC"/>
    <w:rsid w:val="00EF383D"/>
    <w:rsid w:val="00EF3AA0"/>
    <w:rsid w:val="00EF4E32"/>
    <w:rsid w:val="00EF521E"/>
    <w:rsid w:val="00EF544C"/>
    <w:rsid w:val="00EF5734"/>
    <w:rsid w:val="00EF5937"/>
    <w:rsid w:val="00EF624B"/>
    <w:rsid w:val="00EF635B"/>
    <w:rsid w:val="00EF6780"/>
    <w:rsid w:val="00EF7543"/>
    <w:rsid w:val="00EF7932"/>
    <w:rsid w:val="00EF7C8C"/>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319"/>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3F4"/>
    <w:rsid w:val="00F30735"/>
    <w:rsid w:val="00F31664"/>
    <w:rsid w:val="00F31719"/>
    <w:rsid w:val="00F31CD7"/>
    <w:rsid w:val="00F32D4C"/>
    <w:rsid w:val="00F33144"/>
    <w:rsid w:val="00F3336D"/>
    <w:rsid w:val="00F33891"/>
    <w:rsid w:val="00F340C4"/>
    <w:rsid w:val="00F34A38"/>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4C20"/>
    <w:rsid w:val="00F450B4"/>
    <w:rsid w:val="00F45760"/>
    <w:rsid w:val="00F45A5F"/>
    <w:rsid w:val="00F45BD6"/>
    <w:rsid w:val="00F45C0A"/>
    <w:rsid w:val="00F45C2B"/>
    <w:rsid w:val="00F45FD0"/>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5746"/>
    <w:rsid w:val="00F565B0"/>
    <w:rsid w:val="00F57D76"/>
    <w:rsid w:val="00F57F89"/>
    <w:rsid w:val="00F600CB"/>
    <w:rsid w:val="00F602AC"/>
    <w:rsid w:val="00F60717"/>
    <w:rsid w:val="00F61065"/>
    <w:rsid w:val="00F6107F"/>
    <w:rsid w:val="00F625B2"/>
    <w:rsid w:val="00F628EA"/>
    <w:rsid w:val="00F62CF9"/>
    <w:rsid w:val="00F62F9F"/>
    <w:rsid w:val="00F636BD"/>
    <w:rsid w:val="00F6444D"/>
    <w:rsid w:val="00F649E5"/>
    <w:rsid w:val="00F64B49"/>
    <w:rsid w:val="00F65323"/>
    <w:rsid w:val="00F6600E"/>
    <w:rsid w:val="00F66161"/>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77FE7"/>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2B9"/>
    <w:rsid w:val="00F85DA4"/>
    <w:rsid w:val="00F85F94"/>
    <w:rsid w:val="00F86448"/>
    <w:rsid w:val="00F870D7"/>
    <w:rsid w:val="00F874AD"/>
    <w:rsid w:val="00F9224D"/>
    <w:rsid w:val="00F92490"/>
    <w:rsid w:val="00F929BC"/>
    <w:rsid w:val="00F92F98"/>
    <w:rsid w:val="00F930A6"/>
    <w:rsid w:val="00F9333C"/>
    <w:rsid w:val="00F93948"/>
    <w:rsid w:val="00F93D1E"/>
    <w:rsid w:val="00F93DC4"/>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4B5"/>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B2C"/>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5F9A"/>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6BE947D"/>
    <w:rsid w:val="117943C1"/>
    <w:rsid w:val="14569955"/>
    <w:rsid w:val="219B4AE9"/>
    <w:rsid w:val="22843B4E"/>
    <w:rsid w:val="2625D7DF"/>
    <w:rsid w:val="29D22B2B"/>
    <w:rsid w:val="39842BD4"/>
    <w:rsid w:val="40C158B9"/>
    <w:rsid w:val="4D0D6456"/>
    <w:rsid w:val="74F12002"/>
    <w:rsid w:val="7FEA1A4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9241E628-CB9B-4FFC-BCA4-D653CB12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style>
  <w:style w:type="table" w:styleId="ColorfulShading-Accent4">
    <w:name w:val="Colorful Shading Accent 4"/>
    <w:basedOn w:val="TableNormal"/>
    <w:uiPriority w:val="71"/>
    <w:semiHidden/>
    <w:rsid w:val="0058629F"/>
    <w:tblPr>
      <w:tblStyleRowBandSize w:val="1"/>
      <w:tblStyleColBandSize w:val="1"/>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tcBorders>
        <w:top w:val="nil"/>
        <w:left w:val="nil"/>
        <w:bottom w:val="nil"/>
        <w:right w:val="nil"/>
      </w:tcBorders>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Pr>
    <w:tcPr>
      <w:shd w:val="clear" w:color="auto" w:fill="D3D2D2" w:themeFill="text1" w:themeFillTint="33"/>
    </w:tc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Pr>
    <w:tcPr>
      <w:shd w:val="clear" w:color="auto" w:fill="B7DBFF" w:themeFill="accent1" w:themeFillTint="33"/>
    </w:tc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Pr>
    <w:tcPr>
      <w:shd w:val="clear" w:color="auto" w:fill="E7F7F8" w:themeFill="accent2" w:themeFillTint="33"/>
    </w:tc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Pr>
    <w:tcPr>
      <w:shd w:val="clear" w:color="auto" w:fill="BCFFFB" w:themeFill="accent3" w:themeFillTint="33"/>
    </w:tc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Pr>
    <w:tcPr>
      <w:shd w:val="clear" w:color="auto" w:fill="C8BEEC" w:themeFill="accent4" w:themeFillTint="33"/>
    </w:tc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Pr>
    <w:tcPr>
      <w:shd w:val="clear" w:color="auto" w:fill="E0E9F2" w:themeFill="accent5" w:themeFillTint="33"/>
    </w:tc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Pr>
    <w:tcPr>
      <w:shd w:val="clear" w:color="auto" w:fill="F0FAFB" w:themeFill="accent6" w:themeFillTint="33"/>
    </w:tc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Pr>
    <w:tcPr>
      <w:shd w:val="clear" w:color="auto" w:fill="D3D2D2" w:themeFill="tex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Pr>
    <w:tcPr>
      <w:shd w:val="clear" w:color="auto" w:fill="B7DBFF" w:themeFill="accen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Pr>
    <w:tcPr>
      <w:shd w:val="clear" w:color="auto" w:fill="E7F7F8" w:themeFill="accent2"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Pr>
    <w:tcPr>
      <w:shd w:val="clear" w:color="auto" w:fill="BCFFFB" w:themeFill="accent3"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Pr>
    <w:tcPr>
      <w:shd w:val="clear" w:color="auto" w:fill="C8BEEC" w:themeFill="accent4"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Pr>
    <w:tcPr>
      <w:shd w:val="clear" w:color="auto" w:fill="E0E9F2" w:themeFill="accent5"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Pr>
    <w:tcPr>
      <w:shd w:val="clear" w:color="auto" w:fill="F0FAFB" w:themeFill="accent6"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cPr>
      <w:shd w:val="clear" w:color="auto" w:fill="D3D2D2" w:themeFill="text1" w:themeFillTint="33"/>
    </w:tc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cPr>
      <w:shd w:val="clear" w:color="auto" w:fill="B7DBFF" w:themeFill="accent1" w:themeFillTint="33"/>
    </w:tc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cPr>
      <w:shd w:val="clear" w:color="auto" w:fill="E7F7F8" w:themeFill="accent2" w:themeFillTint="33"/>
    </w:tc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cPr>
      <w:shd w:val="clear" w:color="auto" w:fill="BCFFFB" w:themeFill="accent3" w:themeFillTint="33"/>
    </w:tc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cPr>
      <w:shd w:val="clear" w:color="auto" w:fill="C8BEEC" w:themeFill="accent4" w:themeFillTint="33"/>
    </w:tc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cPr>
      <w:shd w:val="clear" w:color="auto" w:fill="E0E9F2" w:themeFill="accent5" w:themeFillTint="33"/>
    </w:tc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cPr>
      <w:shd w:val="clear" w:color="auto" w:fill="F0FAFB" w:themeFill="accent6" w:themeFillTint="33"/>
    </w:tc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Pr>
    <w:tcPr>
      <w:shd w:val="clear" w:color="auto" w:fill="C9C7C7" w:themeFill="text1" w:themeFillTint="3F"/>
    </w:tc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Pr>
    <w:tcPr>
      <w:shd w:val="clear" w:color="auto" w:fill="A6D2FF" w:themeFill="accent1" w:themeFillTint="3F"/>
    </w:tc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Pr>
    <w:tcPr>
      <w:shd w:val="clear" w:color="auto" w:fill="E1F6F7" w:themeFill="accent2" w:themeFillTint="3F"/>
    </w:tc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Pr>
    <w:tcPr>
      <w:shd w:val="clear" w:color="auto" w:fill="ACFFFA" w:themeFill="accent3" w:themeFillTint="3F"/>
    </w:tc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Pr>
    <w:tcPr>
      <w:shd w:val="clear" w:color="auto" w:fill="BBAFE7" w:themeFill="accent4" w:themeFillTint="3F"/>
    </w:tc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Pr>
    <w:tcPr>
      <w:shd w:val="clear" w:color="auto" w:fill="D9E4EF" w:themeFill="accent5" w:themeFillTint="3F"/>
    </w:tc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Pr>
    <w:tcPr>
      <w:shd w:val="clear" w:color="auto" w:fill="EDF9FA" w:themeFill="accent6" w:themeFillTint="3F"/>
    </w:tc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Pr>
    <w:tcPr>
      <w:shd w:val="clear" w:color="auto" w:fill="C9C7C7" w:themeFill="text1" w:themeFillTint="3F"/>
    </w:tc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Pr>
    <w:tcPr>
      <w:shd w:val="clear" w:color="auto" w:fill="A6D2FF" w:themeFill="accent1" w:themeFillTint="3F"/>
    </w:tc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Pr>
    <w:tcPr>
      <w:shd w:val="clear" w:color="auto" w:fill="E1F6F7" w:themeFill="accent2" w:themeFillTint="3F"/>
    </w:tc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Pr>
    <w:tcPr>
      <w:shd w:val="clear" w:color="auto" w:fill="ACFFFA" w:themeFill="accent3" w:themeFillTint="3F"/>
    </w:tc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Pr>
    <w:tcPr>
      <w:shd w:val="clear" w:color="auto" w:fill="BBAFE7" w:themeFill="accent4" w:themeFillTint="3F"/>
    </w:tc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Pr>
    <w:tcPr>
      <w:shd w:val="clear" w:color="auto" w:fill="D9E4EF" w:themeFill="accent5" w:themeFillTint="3F"/>
    </w:tc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Pr>
    <w:tcPr>
      <w:shd w:val="clear" w:color="auto" w:fill="EDF9FA" w:themeFill="accent6" w:themeFillTint="3F"/>
    </w:tc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cPr>
      <w:tcBorders>
        <w:right w:val="single" w:sz="4" w:space="0" w:color="918E8E" w:themeColor="text1" w:themeTint="80"/>
      </w:tcBorders>
    </w:tc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semiHidden/>
    <w:rsid w:val="0058629F"/>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cPr>
      <w:tcBorders>
        <w:bottom w:val="single" w:sz="6" w:space="0" w:color="FFFFFF"/>
      </w:tcBorders>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Pr>
    <w:tcPr>
      <w:shd w:val="clear" w:color="auto" w:fill="CCDBEA" w:themeFill="background2"/>
    </w:tc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style>
  <w:style w:type="table" w:styleId="TableList1">
    <w:name w:val="Table List 1"/>
    <w:basedOn w:val="TableNormal"/>
    <w:semiHidden/>
    <w:rsid w:val="0058629F"/>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semiHidden/>
    <w:rsid w:val="0058629F"/>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Pr>
    <w:tcPr>
      <w:shd w:val="clear" w:color="auto" w:fill="FFFFFF"/>
      <w:vAlign w:val="center"/>
    </w:tcPr>
    <w:tblStylePr w:type="firstRow">
      <w:pPr>
        <w:wordWrap/>
        <w:spacing w:beforeLines="0" w:before="60" w:beforeAutospacing="0" w:afterLines="0" w:after="60" w:afterAutospacing="0" w:line="220" w:lineRule="atLeast"/>
        <w:jc w:val="left"/>
      </w:pPr>
      <w:rPr>
        <w:rFonts w:ascii="Arial" w:hAnsi="Arial"/>
        <w:b w:val="0"/>
        <w:color w:val="363534"/>
        <w:sz w:val="18"/>
      </w:rPr>
    </w:tblStylePr>
    <w:tblStylePr w:type="lastRow">
      <w:rPr>
        <w:b w:val="0"/>
      </w:rPr>
    </w:tblStylePr>
    <w:tblStylePr w:type="lastCol">
      <w:pPr>
        <w:jc w:val="left"/>
      </w:pPr>
    </w:tblStylePr>
    <w:tblStylePr w:type="nwCell">
      <w:pPr>
        <w:jc w:val="left"/>
      </w:p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bodycopy">
    <w:name w:val="DTPLI body copy"/>
    <w:basedOn w:val="Normal"/>
    <w:qFormat/>
    <w:rsid w:val="00270BA3"/>
    <w:pPr>
      <w:spacing w:before="0" w:line="240" w:lineRule="auto"/>
      <w:ind w:right="-2"/>
    </w:pPr>
    <w:rPr>
      <w:rFonts w:ascii="Tahoma" w:hAnsi="Tahoma"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620">
      <w:bodyDiv w:val="1"/>
      <w:marLeft w:val="0"/>
      <w:marRight w:val="0"/>
      <w:marTop w:val="0"/>
      <w:marBottom w:val="0"/>
      <w:divBdr>
        <w:top w:val="none" w:sz="0" w:space="0" w:color="auto"/>
        <w:left w:val="none" w:sz="0" w:space="0" w:color="auto"/>
        <w:bottom w:val="none" w:sz="0" w:space="0" w:color="auto"/>
        <w:right w:val="none" w:sz="0" w:space="0" w:color="auto"/>
      </w:divBdr>
    </w:div>
    <w:div w:id="27729863">
      <w:bodyDiv w:val="1"/>
      <w:marLeft w:val="0"/>
      <w:marRight w:val="0"/>
      <w:marTop w:val="0"/>
      <w:marBottom w:val="0"/>
      <w:divBdr>
        <w:top w:val="none" w:sz="0" w:space="0" w:color="auto"/>
        <w:left w:val="none" w:sz="0" w:space="0" w:color="auto"/>
        <w:bottom w:val="none" w:sz="0" w:space="0" w:color="auto"/>
        <w:right w:val="none" w:sz="0" w:space="0" w:color="auto"/>
      </w:divBdr>
    </w:div>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03717858">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80109623">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35370442">
      <w:bodyDiv w:val="1"/>
      <w:marLeft w:val="0"/>
      <w:marRight w:val="0"/>
      <w:marTop w:val="0"/>
      <w:marBottom w:val="0"/>
      <w:divBdr>
        <w:top w:val="none" w:sz="0" w:space="0" w:color="auto"/>
        <w:left w:val="none" w:sz="0" w:space="0" w:color="auto"/>
        <w:bottom w:val="none" w:sz="0" w:space="0" w:color="auto"/>
        <w:right w:val="none" w:sz="0" w:space="0" w:color="auto"/>
      </w:divBdr>
    </w:div>
    <w:div w:id="575477424">
      <w:bodyDiv w:val="1"/>
      <w:marLeft w:val="0"/>
      <w:marRight w:val="0"/>
      <w:marTop w:val="0"/>
      <w:marBottom w:val="0"/>
      <w:divBdr>
        <w:top w:val="none" w:sz="0" w:space="0" w:color="auto"/>
        <w:left w:val="none" w:sz="0" w:space="0" w:color="auto"/>
        <w:bottom w:val="none" w:sz="0" w:space="0" w:color="auto"/>
        <w:right w:val="none" w:sz="0" w:space="0" w:color="auto"/>
      </w:divBdr>
    </w:div>
    <w:div w:id="586577587">
      <w:bodyDiv w:val="1"/>
      <w:marLeft w:val="0"/>
      <w:marRight w:val="0"/>
      <w:marTop w:val="0"/>
      <w:marBottom w:val="0"/>
      <w:divBdr>
        <w:top w:val="none" w:sz="0" w:space="0" w:color="auto"/>
        <w:left w:val="none" w:sz="0" w:space="0" w:color="auto"/>
        <w:bottom w:val="none" w:sz="0" w:space="0" w:color="auto"/>
        <w:right w:val="none" w:sz="0" w:space="0" w:color="auto"/>
      </w:divBdr>
    </w:div>
    <w:div w:id="609630127">
      <w:bodyDiv w:val="1"/>
      <w:marLeft w:val="0"/>
      <w:marRight w:val="0"/>
      <w:marTop w:val="0"/>
      <w:marBottom w:val="0"/>
      <w:divBdr>
        <w:top w:val="none" w:sz="0" w:space="0" w:color="auto"/>
        <w:left w:val="none" w:sz="0" w:space="0" w:color="auto"/>
        <w:bottom w:val="none" w:sz="0" w:space="0" w:color="auto"/>
        <w:right w:val="none" w:sz="0" w:space="0" w:color="auto"/>
      </w:divBdr>
    </w:div>
    <w:div w:id="648243264">
      <w:bodyDiv w:val="1"/>
      <w:marLeft w:val="0"/>
      <w:marRight w:val="0"/>
      <w:marTop w:val="0"/>
      <w:marBottom w:val="0"/>
      <w:divBdr>
        <w:top w:val="none" w:sz="0" w:space="0" w:color="auto"/>
        <w:left w:val="none" w:sz="0" w:space="0" w:color="auto"/>
        <w:bottom w:val="none" w:sz="0" w:space="0" w:color="auto"/>
        <w:right w:val="none" w:sz="0" w:space="0" w:color="auto"/>
      </w:divBdr>
    </w:div>
    <w:div w:id="732851683">
      <w:bodyDiv w:val="1"/>
      <w:marLeft w:val="0"/>
      <w:marRight w:val="0"/>
      <w:marTop w:val="0"/>
      <w:marBottom w:val="0"/>
      <w:divBdr>
        <w:top w:val="none" w:sz="0" w:space="0" w:color="auto"/>
        <w:left w:val="none" w:sz="0" w:space="0" w:color="auto"/>
        <w:bottom w:val="none" w:sz="0" w:space="0" w:color="auto"/>
        <w:right w:val="none" w:sz="0" w:space="0" w:color="auto"/>
      </w:divBdr>
    </w:div>
    <w:div w:id="1021663412">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3456881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189102554">
      <w:bodyDiv w:val="1"/>
      <w:marLeft w:val="0"/>
      <w:marRight w:val="0"/>
      <w:marTop w:val="0"/>
      <w:marBottom w:val="0"/>
      <w:divBdr>
        <w:top w:val="none" w:sz="0" w:space="0" w:color="auto"/>
        <w:left w:val="none" w:sz="0" w:space="0" w:color="auto"/>
        <w:bottom w:val="none" w:sz="0" w:space="0" w:color="auto"/>
        <w:right w:val="none" w:sz="0" w:space="0" w:color="auto"/>
      </w:divBdr>
    </w:div>
    <w:div w:id="1222475360">
      <w:bodyDiv w:val="1"/>
      <w:marLeft w:val="0"/>
      <w:marRight w:val="0"/>
      <w:marTop w:val="0"/>
      <w:marBottom w:val="0"/>
      <w:divBdr>
        <w:top w:val="none" w:sz="0" w:space="0" w:color="auto"/>
        <w:left w:val="none" w:sz="0" w:space="0" w:color="auto"/>
        <w:bottom w:val="none" w:sz="0" w:space="0" w:color="auto"/>
        <w:right w:val="none" w:sz="0" w:space="0" w:color="auto"/>
      </w:divBdr>
    </w:div>
    <w:div w:id="1249999942">
      <w:bodyDiv w:val="1"/>
      <w:marLeft w:val="0"/>
      <w:marRight w:val="0"/>
      <w:marTop w:val="0"/>
      <w:marBottom w:val="0"/>
      <w:divBdr>
        <w:top w:val="none" w:sz="0" w:space="0" w:color="auto"/>
        <w:left w:val="none" w:sz="0" w:space="0" w:color="auto"/>
        <w:bottom w:val="none" w:sz="0" w:space="0" w:color="auto"/>
        <w:right w:val="none" w:sz="0" w:space="0" w:color="auto"/>
      </w:divBdr>
    </w:div>
    <w:div w:id="1370496793">
      <w:bodyDiv w:val="1"/>
      <w:marLeft w:val="0"/>
      <w:marRight w:val="0"/>
      <w:marTop w:val="0"/>
      <w:marBottom w:val="0"/>
      <w:divBdr>
        <w:top w:val="none" w:sz="0" w:space="0" w:color="auto"/>
        <w:left w:val="none" w:sz="0" w:space="0" w:color="auto"/>
        <w:bottom w:val="none" w:sz="0" w:space="0" w:color="auto"/>
        <w:right w:val="none" w:sz="0" w:space="0" w:color="auto"/>
      </w:divBdr>
    </w:div>
    <w:div w:id="1498568076">
      <w:bodyDiv w:val="1"/>
      <w:marLeft w:val="0"/>
      <w:marRight w:val="0"/>
      <w:marTop w:val="0"/>
      <w:marBottom w:val="0"/>
      <w:divBdr>
        <w:top w:val="none" w:sz="0" w:space="0" w:color="auto"/>
        <w:left w:val="none" w:sz="0" w:space="0" w:color="auto"/>
        <w:bottom w:val="none" w:sz="0" w:space="0" w:color="auto"/>
        <w:right w:val="none" w:sz="0" w:space="0" w:color="auto"/>
      </w:divBdr>
    </w:div>
    <w:div w:id="1676297778">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698386589">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1941524469">
      <w:bodyDiv w:val="1"/>
      <w:marLeft w:val="0"/>
      <w:marRight w:val="0"/>
      <w:marTop w:val="0"/>
      <w:marBottom w:val="0"/>
      <w:divBdr>
        <w:top w:val="none" w:sz="0" w:space="0" w:color="auto"/>
        <w:left w:val="none" w:sz="0" w:space="0" w:color="auto"/>
        <w:bottom w:val="none" w:sz="0" w:space="0" w:color="auto"/>
        <w:right w:val="none" w:sz="0" w:space="0" w:color="auto"/>
      </w:divBdr>
    </w:div>
    <w:div w:id="1998073183">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14029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www.deeca.vic.gov.a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roxanne.conquest@deeca.vic.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eader" Target="header2.xml"/><Relationship Id="rId29" Type="http://schemas.openxmlformats.org/officeDocument/2006/relationships/hyperlink" Target="mailto:customer.service@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28" Type="http://schemas.openxmlformats.org/officeDocument/2006/relationships/hyperlink" Target="mailto:self.determination@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yperlink" Target="https://careers.vic.gov.au/victorian-public-sector/public-sector-values-integrity" TargetMode="External"/><Relationship Id="rId30" Type="http://schemas.openxmlformats.org/officeDocument/2006/relationships/header" Target="header4.xml"/><Relationship Id="rId8" Type="http://schemas.openxmlformats.org/officeDocument/2006/relationships/customXml" Target="../customXml/item8.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/sites/contentTypeHub</xsnScope>
</customXsn>
</file>

<file path=customXml/item4.xml><?xml version="1.0" encoding="utf-8"?>
<?mso-contentType ?>
<SharedContentType xmlns="Microsoft.SharePoint.Taxonomy.ContentTypeSync" SourceId="797aeec6-0273-40f2-ab3e-beee73212332" ContentTypeId="0x0101002517F445A0F35E449C98AAD631F2B0384703" PreviousValue="false"/>
</file>

<file path=customXml/item5.xml><?xml version="1.0" encoding="utf-8"?>
<ct:contentTypeSchema xmlns:ct="http://schemas.microsoft.com/office/2006/metadata/contentType" xmlns:ma="http://schemas.microsoft.com/office/2006/metadata/properties/metaAttributes" ct:_="" ma:_="" ma:contentTypeName="Contract - Employment" ma:contentTypeID="0x0101002517F445A0F35E449C98AAD631F2B038470300C29A6D76B8AA5C45A1B8B555BE1F0968" ma:contentTypeVersion="7" ma:contentTypeDescription="" ma:contentTypeScope="" ma:versionID="59b72d96774dc22cfb6b3113c467cfa5">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2112236fe7b47f1ebbdfc6ef367182a8"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2:Date_x0020_Recieved" minOccurs="0"/>
                <xsd:element ref="ns2:Date_x0020_Of_x0020_Original" minOccurs="0"/>
                <xsd:element ref="ns2:Originating_x0020_Author" minOccurs="0"/>
                <xsd:element ref="ns2:Reference_x0020_Number" minOccurs="0"/>
                <xsd:element ref="ns3:ld508a88e6264ce89693af80a72862cb" minOccurs="0"/>
                <xsd:element ref="ns2: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Date_x0020_Recieved" ma:index="32" nillable="true" ma:displayName="Date Received" ma:description="The date stamped on official correspondence." ma:format="DateOnly" ma:internalName="Date_x0020_Recieved">
      <xsd:simpleType>
        <xsd:restriction base="dms:DateTime"/>
      </xsd:simpleType>
    </xsd:element>
    <xsd:element name="Date_x0020_Of_x0020_Original" ma:index="33" nillable="true" ma:displayName="Date Of Original" ma:description="The date which appears on the document." ma:format="DateTime" ma:internalName="Date_x0020_Of_x0020_Original">
      <xsd:simpleType>
        <xsd:restriction base="dms:DateTime"/>
      </xsd:simpleType>
    </xsd:element>
    <xsd:element name="Originating_x0020_Author" ma:index="34" nillable="true" ma:displayName="Originating Author" ma:description="The original person or organisation from which the object came from." ma:internalName="Originating_x0020_Author">
      <xsd:simpleType>
        <xsd:restriction base="dms:Text">
          <xsd:maxLength value="255"/>
        </xsd:restriction>
      </xsd:simpleType>
    </xsd:element>
    <xsd:element name="Reference_x0020_Number" ma:index="35" nillable="true" ma:displayName="Reference Number" ma:internalName="Reference_x0020_Number">
      <xsd:simpleType>
        <xsd:restriction base="dms:Text">
          <xsd:maxLength value="255"/>
        </xsd:restriction>
      </xsd:simpleType>
    </xsd:element>
    <xsd:element name="Review_x0020_Date" ma:index="37" nillable="true" ma:displayName="Review Date" ma:description="This is the date that you will be alerted to review your object." ma:format="DateOnly" ma:internalName="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10;#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4aa7cdb-50e7-401b-a085-8f4159cae975}" ma:internalName="TaxCatchAll" ma:showField="CatchAllData"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4aa7cdb-50e7-401b-a085-8f4159cae975}" ma:internalName="TaxCatchAllLabel" ma:readOnly="true" ma:showField="CatchAllDataLabel"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5;#Energy|40f2c14a-2679-4881-8e58-939b39a0f1d1"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4;#Office of the Deputy Secretary - Energy|7c688249-503a-4b39-8f27-334d21e99690"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6"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69</Value>
      <Value>6</Value>
      <Value>20</Value>
      <Value>2</Value>
      <Value>1</Value>
      <Value>3</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Energy Sector Reform</TermName>
          <TermId xmlns="http://schemas.microsoft.com/office/infopath/2007/PartnerControls">b9c4f3f1-9538-4841-9a93-00ecd3e35a73</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Energy Markets and Transformation</TermName>
          <TermId xmlns="http://schemas.microsoft.com/office/infopath/2007/PartnerControls">d8784bc9-1299-4fb6-8222-a2d05974ea8b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Energy, Environment and Climate Change</TermName>
          <TermId xmlns="http://schemas.microsoft.com/office/infopath/2007/PartnerControls">94bee464-a01d-4057-aeaf-10b10373b617</TermId>
        </TermInfo>
      </Terms>
    </ic50d0a05a8e4d9791dac67f8a1e716c>
    <_dlc_DocId xmlns="a5f32de4-e402-4188-b034-e71ca7d22e54">DOCID618-1909475584-917</_dlc_DocId>
    <_dlc_DocIdUrl xmlns="a5f32de4-e402-4188-b034-e71ca7d22e54">
      <Url>https://delwpvicgovau.sharepoint.com/sites/ecm_618/_layouts/15/DocIdRedir.aspx?ID=DOCID618-1909475584-917</Url>
      <Description>DOCID618-1909475584-917</Description>
    </_dlc_DocIdUrl>
    <Originating_x0020_Author xmlns="a5f32de4-e402-4188-b034-e71ca7d22e54" xsi:nil="true"/>
    <Review_x0020_Date xmlns="a5f32de4-e402-4188-b034-e71ca7d22e54" xsi:nil="true"/>
    <Reference_x0020_Number xmlns="a5f32de4-e402-4188-b034-e71ca7d22e54" xsi:nil="true"/>
    <Date_x0020_Of_x0020_Original xmlns="a5f32de4-e402-4188-b034-e71ca7d22e54" xsi:nil="true"/>
    <Date_x0020_Recieved xmlns="a5f32de4-e402-4188-b034-e71ca7d22e54" xsi:nil="true"/>
    <ld508a88e6264ce89693af80a72862cb xmlns="9fd47c19-1c4a-4d7d-b342-c10cef269344">
      <Terms xmlns="http://schemas.microsoft.com/office/infopath/2007/PartnerControls"/>
    </ld508a88e6264ce89693af80a72862cb>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70FD4C-F373-4775-97CA-422B0C6CD480}">
  <ds:schemaRefs>
    <ds:schemaRef ds:uri="http://schemas.microsoft.com/sharepoint/events"/>
  </ds:schemaRefs>
</ds:datastoreItem>
</file>

<file path=customXml/itemProps3.xml><?xml version="1.0" encoding="utf-8"?>
<ds:datastoreItem xmlns:ds="http://schemas.openxmlformats.org/officeDocument/2006/customXml" ds:itemID="{1E3870EB-51C6-4C4A-856C-91BE1E2E5FE5}">
  <ds:schemaRefs>
    <ds:schemaRef ds:uri="http://schemas.microsoft.com/office/2006/metadata/customXsn"/>
  </ds:schemaRefs>
</ds:datastoreItem>
</file>

<file path=customXml/itemProps4.xml><?xml version="1.0" encoding="utf-8"?>
<ds:datastoreItem xmlns:ds="http://schemas.openxmlformats.org/officeDocument/2006/customXml" ds:itemID="{053950D3-F4C1-4318-A744-059E89BE4409}">
  <ds:schemaRefs>
    <ds:schemaRef ds:uri="Microsoft.SharePoint.Taxonomy.ContentTypeSync"/>
  </ds:schemaRefs>
</ds:datastoreItem>
</file>

<file path=customXml/itemProps5.xml><?xml version="1.0" encoding="utf-8"?>
<ds:datastoreItem xmlns:ds="http://schemas.openxmlformats.org/officeDocument/2006/customXml" ds:itemID="{D94268BD-79A4-44BD-B6FC-D8F2C3EE7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Fionna X Keating (DEECA)</cp:lastModifiedBy>
  <cp:revision>18</cp:revision>
  <cp:lastPrinted>2022-06-18T12:14:00Z</cp:lastPrinted>
  <dcterms:created xsi:type="dcterms:W3CDTF">2026-05-15T06:19:00Z</dcterms:created>
  <dcterms:modified xsi:type="dcterms:W3CDTF">2026-06-24T02:07:00Z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0x0101002517F445A0F35E449C98AAD631F2B038470300C29A6D76B8AA5C45A1B8B555BE1F0968</vt:lpwstr>
  </property>
  <property fmtid="{D5CDD505-2E9C-101B-9397-08002B2CF9AE}" pid="5" name="MediaServiceImageTags">
    <vt:lpwstr/>
  </property>
  <property fmtid="{D5CDD505-2E9C-101B-9397-08002B2CF9AE}" pid="6" name="_dlc_DocIdItemGuid">
    <vt:lpwstr>fbf9fa02-acbc-40fc-98bc-b70abec8447f</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Security_x0020_Classification">
    <vt:lpwstr>2;#Unclassified|7fa379f4-4aba-4692-ab80-7d39d3a23cf4</vt:lpwstr>
  </property>
  <property fmtid="{D5CDD505-2E9C-101B-9397-08002B2CF9AE}" pid="25" name="Dissemination_x0020_Limiting_x0020_Marker">
    <vt:lpwstr>3;#FOUO|955eb6fc-b35a-4808-8aa5-31e514fa3f26</vt:lpwstr>
  </property>
  <property fmtid="{D5CDD505-2E9C-101B-9397-08002B2CF9AE}" pid="26" name="Section">
    <vt:lpwstr>6;#All|8270565e-a836-42c0-aa61-1ac7b0ff14aa</vt:lpwstr>
  </property>
  <property fmtid="{D5CDD505-2E9C-101B-9397-08002B2CF9AE}" pid="27" name="Agency">
    <vt:lpwstr>1;#Department of Environment, Land, Water and Planning|607a3f87-1228-4cd9-82a5-076aa8776274</vt:lpwstr>
  </property>
  <property fmtid="{D5CDD505-2E9C-101B-9397-08002B2CF9AE}" pid="28" name="Branch">
    <vt:lpwstr>69;#Energy Markets and Transformation|d8784bc9-1299-4fb6-8222-a2d05974ea8b</vt:lpwstr>
  </property>
  <property fmtid="{D5CDD505-2E9C-101B-9397-08002B2CF9AE}" pid="29" name="Division">
    <vt:lpwstr>20;#Energy Sector Reform|b9c4f3f1-9538-4841-9a93-00ecd3e35a73</vt:lpwstr>
  </property>
  <property fmtid="{D5CDD505-2E9C-101B-9397-08002B2CF9AE}" pid="30" name="Group1">
    <vt:lpwstr>13;#Energy, Environment and Climate Change|94bee464-a01d-4057-aeaf-10b10373b617</vt:lpwstr>
  </property>
  <property fmtid="{D5CDD505-2E9C-101B-9397-08002B2CF9AE}" pid="31" name="Sub-Section">
    <vt:lpwstr/>
  </property>
  <property fmtid="{D5CDD505-2E9C-101B-9397-08002B2CF9AE}" pid="32" name="Reference_x0020_Type">
    <vt:lpwstr/>
  </property>
  <property fmtid="{D5CDD505-2E9C-101B-9397-08002B2CF9AE}" pid="33" name="Sub_x002d_Section">
    <vt:lpwstr/>
  </property>
  <property fmtid="{D5CDD505-2E9C-101B-9397-08002B2CF9AE}" pid="34" name="ld508a88e6264ce89693af80a72862cb">
    <vt:lpwstr/>
  </property>
  <property fmtid="{D5CDD505-2E9C-101B-9397-08002B2CF9AE}" pid="35" name="Reference Type">
    <vt:lpwstr/>
  </property>
</Properties>
</file>