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EA689DB">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6118FF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4D3B90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Manager - Enterprise Support Systems</w:t>
                </w:r>
              </w:p>
            </w:tc>
          </w:sdtContent>
        </w:sdt>
      </w:tr>
      <w:tr w:rsidR="00495B3B" w:rsidRPr="00495B3B" w14:paraId="5F8F815C" w14:textId="77777777" w:rsidTr="14D3B90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sdt>
          <w:sdtPr>
            <w:rPr>
              <w:rFonts w:ascii="Arial" w:hAnsi="Arial" w:cs="Arial"/>
              <w:color w:val="363534"/>
            </w:rPr>
            <w:alias w:val="Position Number"/>
            <w:tag w:val="Position Number"/>
            <w:id w:val="951059303"/>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BC2ECDC" w:rsidR="005A78A5" w:rsidRPr="00495B3B" w:rsidRDefault="0097602D" w:rsidP="00495B3B">
                <w:pPr>
                  <w:spacing w:before="0" w:after="0"/>
                  <w:ind w:left="57" w:right="-450"/>
                  <w:rPr>
                    <w:rFonts w:ascii="Arial" w:hAnsi="Arial" w:cs="Arial"/>
                    <w:color w:val="363534"/>
                    <w:szCs w:val="22"/>
                  </w:rPr>
                </w:pPr>
                <w:r w:rsidRPr="0097602D">
                  <w:rPr>
                    <w:rFonts w:ascii="Arial" w:hAnsi="Arial" w:cs="Arial"/>
                    <w:color w:val="363534"/>
                    <w:szCs w:val="22"/>
                  </w:rPr>
                  <w:t>50322808</w:t>
                </w:r>
              </w:p>
            </w:tc>
          </w:sdtContent>
        </w:sdt>
      </w:tr>
      <w:tr w:rsidR="00495B3B" w:rsidRPr="00495B3B" w14:paraId="6052E497" w14:textId="77777777" w:rsidTr="14D3B90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6</w:t>
                </w:r>
              </w:p>
            </w:tc>
          </w:sdtContent>
        </w:sdt>
      </w:tr>
      <w:tr w:rsidR="00495B3B" w:rsidRPr="00495B3B" w14:paraId="513E600D" w14:textId="77777777" w:rsidTr="14D3B90F">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sdt>
          <w:sdtPr>
            <w:rPr>
              <w:rFonts w:ascii="Arial" w:hAnsi="Arial" w:cs="Arial"/>
              <w:color w:val="363534"/>
            </w:rPr>
            <w:alias w:val="Salary Range"/>
            <w:tag w:val="Salary Range"/>
            <w:id w:val="1277832189"/>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5F64F20"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$142,790 - $191,084 Plus Superannuation</w:t>
                </w:r>
              </w:p>
            </w:tc>
          </w:sdtContent>
        </w:sdt>
      </w:tr>
      <w:tr w:rsidR="00495B3B" w:rsidRPr="00495B3B" w14:paraId="2A722203" w14:textId="77777777" w:rsidTr="14D3B90F">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7CAFFAB" w:rsidR="00495B3B" w:rsidRPr="00495B3B" w:rsidRDefault="00F8586E" w:rsidP="00495B3B">
            <w:pPr>
              <w:tabs>
                <w:tab w:val="left" w:pos="3529"/>
              </w:tabs>
              <w:spacing w:before="0" w:after="0"/>
              <w:ind w:left="57" w:right="-450"/>
              <w:rPr>
                <w:rFonts w:ascii="Arial" w:hAnsi="Arial" w:cs="Arial"/>
                <w:color w:val="363534"/>
                <w:szCs w:val="22"/>
              </w:rPr>
            </w:pPr>
            <w:sdt>
              <w:sdtPr>
                <w:rPr>
                  <w:rFonts w:ascii="Arial" w:hAnsi="Arial" w:cs="Arial"/>
                  <w:color w:val="363534"/>
                  <w:szCs w:val="22"/>
                </w:rPr>
                <w:alias w:val="Employment Type"/>
                <w:tag w:val="Employment Type"/>
                <w:id w:val="1379284420"/>
                <w:placeholder>
                  <w:docPart w:val="DefaultPlaceholder_-1854013440"/>
                </w:placeholder>
                <w:temporary/>
                <w:text/>
              </w:sdtPr>
              <w:sdtEndPr/>
              <w:sdtContent>
                <w:r w:rsidR="005E44AA">
                  <w:rPr>
                    <w:rFonts w:ascii="Arial" w:hAnsi="Arial" w:cs="Arial"/>
                    <w:color w:val="363534"/>
                    <w:szCs w:val="22"/>
                  </w:rPr>
                  <w:t>Ongoing</w:t>
                </w:r>
              </w:sdtContent>
            </w:sdt>
            <w:r w:rsidR="005E44AA">
              <w:rPr>
                <w:rFonts w:ascii="Arial" w:hAnsi="Arial" w:cs="Arial"/>
                <w:color w:val="363534"/>
                <w:szCs w:val="22"/>
              </w:rPr>
              <w:t xml:space="preserve"> </w:t>
            </w:r>
            <w:sdt>
              <w:sdtPr>
                <w:rPr>
                  <w:rFonts w:ascii="Arial" w:hAnsi="Arial" w:cs="Arial"/>
                  <w:color w:val="363534"/>
                  <w:szCs w:val="22"/>
                </w:rPr>
                <w:alias w:val="End Date"/>
                <w:tag w:val="End Date"/>
                <w:id w:val="640080768"/>
                <w:placeholder>
                  <w:docPart w:val="DefaultPlaceholder_-1854013440"/>
                </w:placeholder>
                <w:temporary/>
                <w:text/>
              </w:sdtPr>
              <w:sdtEndPr/>
              <w:sdtContent/>
            </w:sdt>
          </w:p>
        </w:tc>
      </w:tr>
      <w:tr w:rsidR="00495B3B" w:rsidRPr="00495B3B" w14:paraId="73E4C712" w14:textId="77777777" w:rsidTr="14D3B90F">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Corporate Services</w:t>
                </w:r>
              </w:sdtContent>
            </w:sdt>
          </w:p>
        </w:tc>
      </w:tr>
      <w:tr w:rsidR="00495B3B" w:rsidRPr="00495B3B" w14:paraId="1EBFF7E6" w14:textId="77777777" w:rsidTr="14D3B90F">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AE3B326" w:rsidR="00495B3B" w:rsidRPr="00495B3B" w:rsidRDefault="005A78A5" w:rsidP="14D3B90F">
            <w:pPr>
              <w:spacing w:before="0" w:after="0"/>
              <w:ind w:right="-450"/>
              <w:rPr>
                <w:rFonts w:ascii="Arial" w:hAnsi="Arial" w:cs="Arial"/>
                <w:color w:val="363534"/>
              </w:rPr>
            </w:pPr>
            <w:r w:rsidRPr="14D3B90F">
              <w:rPr>
                <w:rFonts w:ascii="Arial" w:hAnsi="Arial" w:cs="Arial"/>
                <w:color w:val="363534"/>
              </w:rPr>
              <w:t xml:space="preserve"> </w:t>
            </w:r>
            <w:sdt>
              <w:sdtPr>
                <w:rPr>
                  <w:rFonts w:ascii="Arial" w:hAnsi="Arial" w:cs="Arial"/>
                  <w:color w:val="363534"/>
                </w:rPr>
                <w:alias w:val="Division Value"/>
                <w:tag w:val="Division Value"/>
                <w:id w:val="1765722611"/>
                <w:placeholder>
                  <w:docPart w:val="DefaultPlaceholder_-1854013440"/>
                </w:placeholder>
                <w:temporary/>
                <w:text/>
              </w:sdtPr>
              <w:sdtEndPr/>
              <w:sdtContent>
                <w:r w:rsidRPr="14D3B90F">
                  <w:rPr>
                    <w:rFonts w:ascii="Arial" w:hAnsi="Arial" w:cs="Arial"/>
                    <w:color w:val="363534"/>
                  </w:rPr>
                  <w:t>Information Services</w:t>
                </w:r>
              </w:sdtContent>
            </w:sdt>
            <w:r w:rsidR="4B78F97D" w:rsidRPr="14D3B90F">
              <w:rPr>
                <w:rFonts w:ascii="Arial" w:hAnsi="Arial" w:cs="Arial"/>
                <w:color w:val="363534"/>
              </w:rPr>
              <w:t xml:space="preserve"> / Project Delivery and Enterprise Operations</w:t>
            </w:r>
          </w:p>
        </w:tc>
      </w:tr>
      <w:tr w:rsidR="00495B3B" w:rsidRPr="00495B3B" w14:paraId="37A0D7CE" w14:textId="77777777" w:rsidTr="14D3B90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color w:val="363534"/>
              </w:rPr>
              <w:alias w:val="Work Location"/>
              <w:tag w:val="Work Location"/>
              <w:id w:val="48036555"/>
              <w:placeholder>
                <w:docPart w:val="DefaultPlaceholder_-1854013440"/>
              </w:placeholder>
              <w:temporary/>
              <w:text/>
            </w:sdtPr>
            <w:sdtEndPr/>
            <w:sdtContent>
              <w:p w14:paraId="26162B02" w14:textId="535E3C75" w:rsidR="00495B3B" w:rsidRPr="00495B3B" w:rsidRDefault="00F04FF3" w:rsidP="00495B3B">
                <w:pPr>
                  <w:spacing w:before="0" w:after="0"/>
                  <w:ind w:left="57" w:right="-450"/>
                  <w:rPr>
                    <w:rFonts w:ascii="Arial" w:hAnsi="Arial" w:cs="Arial"/>
                    <w:color w:val="363534"/>
                    <w:szCs w:val="22"/>
                  </w:rPr>
                </w:pPr>
                <w:r>
                  <w:rPr>
                    <w:rFonts w:ascii="Arial" w:hAnsi="Arial" w:cs="Arial"/>
                    <w:color w:val="363534"/>
                    <w:szCs w:val="22"/>
                  </w:rPr>
                  <w:t>Flexible within Victoria</w:t>
                </w:r>
              </w:p>
            </w:sdtContent>
          </w:sdt>
          <w:p w14:paraId="3B7CA3B3" w14:textId="60487FA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sdt>
              <w:sdtPr>
                <w:rPr>
                  <w:rFonts w:ascii="Arial" w:hAnsi="Arial" w:cs="Arial"/>
                  <w:color w:val="363534"/>
                  <w:szCs w:val="22"/>
                </w:rPr>
                <w:alias w:val="Hybrid Arrangement"/>
                <w:tag w:val="Hybrid Arrangement"/>
                <w:id w:val="-665937713"/>
                <w:placeholder>
                  <w:docPart w:val="DefaultPlaceholder_-1854013440"/>
                </w:placeholder>
                <w:temporary/>
                <w:text/>
              </w:sdtPr>
              <w:sdtEndPr/>
              <w:sdtContent>
                <w:r w:rsidR="005A78A5">
                  <w:rPr>
                    <w:rFonts w:ascii="Arial" w:hAnsi="Arial" w:cs="Arial"/>
                    <w:color w:val="363534"/>
                    <w:szCs w:val="22"/>
                  </w:rPr>
                  <w:t>Yes</w:t>
                </w:r>
              </w:sdtContent>
            </w:sdt>
          </w:p>
        </w:tc>
      </w:tr>
      <w:tr w:rsidR="00495B3B" w:rsidRPr="00495B3B" w14:paraId="4352AE4A" w14:textId="77777777" w:rsidTr="14D3B90F">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91FA0C9"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Reports To"/>
                <w:tag w:val="Reports To"/>
                <w:id w:val="-1970819748"/>
                <w:placeholder>
                  <w:docPart w:val="DefaultPlaceholder_-1854013440"/>
                </w:placeholder>
                <w:temporary/>
                <w:text/>
              </w:sdtPr>
              <w:sdtEndPr/>
              <w:sdtContent>
                <w:r>
                  <w:rPr>
                    <w:rFonts w:ascii="Arial" w:hAnsi="Arial" w:cs="Arial"/>
                    <w:color w:val="363534"/>
                  </w:rPr>
                  <w:t>Peter Karvelis, Director Project Delivery and Enterprise Operations</w:t>
                </w:r>
              </w:sdtContent>
            </w:sdt>
          </w:p>
        </w:tc>
      </w:tr>
      <w:tr w:rsidR="00495B3B" w:rsidRPr="00495B3B" w14:paraId="35F6D00F" w14:textId="77777777" w:rsidTr="14D3B90F">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7DE42FC"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Direct Reports"/>
                <w:tag w:val="Direct Reports"/>
                <w:id w:val="-605265447"/>
                <w:placeholder>
                  <w:docPart w:val="DefaultPlaceholder_-1854013440"/>
                </w:placeholder>
                <w:temporary/>
                <w:text/>
              </w:sdtPr>
              <w:sdtEndPr/>
              <w:sdtContent>
                <w:r>
                  <w:rPr>
                    <w:rFonts w:ascii="Arial" w:hAnsi="Arial" w:cs="Arial"/>
                    <w:color w:val="363534"/>
                  </w:rPr>
                  <w:t>Yes</w:t>
                </w:r>
              </w:sdtContent>
            </w:sdt>
            <w:sdt>
              <w:sdtPr>
                <w:rPr>
                  <w:rFonts w:ascii="Arial" w:hAnsi="Arial" w:cs="Arial"/>
                  <w:color w:val="363534"/>
                </w:rPr>
                <w:alias w:val="Direct Reports Count"/>
                <w:tag w:val="Direct Reports Count"/>
                <w:id w:val="-712123595"/>
                <w:placeholder>
                  <w:docPart w:val="DefaultPlaceholder_-1854013440"/>
                </w:placeholder>
                <w:temporary/>
                <w:text/>
              </w:sdtPr>
              <w:sdtEndPr/>
              <w:sdtContent>
                <w:r>
                  <w:rPr>
                    <w:rFonts w:ascii="Arial" w:hAnsi="Arial" w:cs="Arial"/>
                    <w:color w:val="363534"/>
                  </w:rPr>
                  <w:t>. If yes, how many? 2</w:t>
                </w:r>
              </w:sdtContent>
            </w:sdt>
          </w:p>
        </w:tc>
      </w:tr>
      <w:tr w:rsidR="00495B3B" w:rsidRPr="00495B3B" w14:paraId="70C7CF88" w14:textId="77777777" w:rsidTr="14D3B90F">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161454C" w:rsidR="00495B3B" w:rsidRPr="00495B3B" w:rsidRDefault="45F0CB01" w:rsidP="00495B3B">
            <w:pPr>
              <w:spacing w:before="0" w:after="0"/>
              <w:ind w:left="57" w:right="-450"/>
            </w:pPr>
            <w:r w:rsidRPr="14D3B90F">
              <w:rPr>
                <w:rFonts w:ascii="Arial" w:hAnsi="Arial" w:cs="Arial"/>
                <w:color w:val="363534"/>
              </w:rPr>
              <w:t xml:space="preserve">Peter Karvelis – </w:t>
            </w:r>
            <w:hyperlink r:id="rId25">
              <w:r w:rsidRPr="14D3B90F">
                <w:rPr>
                  <w:rStyle w:val="Hyperlink"/>
                </w:rPr>
                <w:t>peter.karvel</w:t>
              </w:r>
              <w:r w:rsidR="267FFA3B" w:rsidRPr="14D3B90F">
                <w:rPr>
                  <w:rStyle w:val="Hyperlink"/>
                </w:rPr>
                <w:t>is@deeca.vi</w:t>
              </w:r>
              <w:r w:rsidRPr="14D3B90F">
                <w:rPr>
                  <w:rStyle w:val="Hyperlink"/>
                </w:rPr>
                <w:t>c.gov.au</w:t>
              </w:r>
            </w:hyperlink>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sdt>
      <w:sdtPr>
        <w:rPr>
          <w:rFonts w:ascii="Arial" w:hAnsi="Arial" w:cs="Arial"/>
          <w:color w:val="363534"/>
        </w:rPr>
        <w:alias w:val="Position Purpose"/>
        <w:tag w:val="Position Purpose"/>
        <w:id w:val="-363130437"/>
        <w:placeholder>
          <w:docPart w:val="DefaultPlaceholder_-1854013440"/>
        </w:placeholder>
        <w:temporary/>
        <w:text w:multiLine="1"/>
      </w:sdtPr>
      <w:sdtEndPr/>
      <w:sdtContent>
        <w:p w14:paraId="3C7700C2" w14:textId="23613DBE" w:rsidR="007E05A8" w:rsidRPr="00EB7456" w:rsidRDefault="00EB7456" w:rsidP="00495B3B">
          <w:pPr>
            <w:keepNext/>
            <w:spacing w:line="240" w:lineRule="auto"/>
            <w:rPr>
              <w:rFonts w:ascii="Arial" w:hAnsi="Arial" w:cs="Arial"/>
              <w:color w:val="363534"/>
              <w:szCs w:val="22"/>
            </w:rPr>
          </w:pPr>
          <w:r>
            <w:rPr>
              <w:rFonts w:ascii="Arial" w:hAnsi="Arial" w:cs="Arial"/>
              <w:color w:val="363534"/>
              <w:szCs w:val="22"/>
            </w:rPr>
            <w:t>The Enterprise Support Systems (ESS) Manager is responsible for leading the team of managers that ensure the smooth operation of the systems that enable business operations (such as Finance, Procurement, Budget, Payroll, Human Capital Management) across the Department.</w:t>
          </w:r>
        </w:p>
      </w:sdtContent>
    </w:sdt>
    <w:p w14:paraId="1B3F576A" w14:textId="10543640" w:rsidR="00495B3B" w:rsidRPr="00495B3B" w:rsidRDefault="00C0795B" w:rsidP="00495B3B">
      <w:pPr>
        <w:keepNext/>
        <w:spacing w:line="240" w:lineRule="auto"/>
        <w:rPr>
          <w:rFonts w:ascii="Arial" w:hAnsi="Arial" w:cs="Arial"/>
          <w:bCs/>
          <w:i/>
          <w:color w:val="442D97"/>
          <w:sz w:val="30"/>
          <w:szCs w:val="22"/>
        </w:rPr>
      </w:pPr>
      <w:r>
        <w:rPr>
          <w:rFonts w:ascii="Arial" w:hAnsi="Arial" w:cs="Arial"/>
          <w:bCs/>
          <w:color w:val="442D97"/>
          <w:sz w:val="28"/>
          <w:szCs w:val="28"/>
          <w:lang w:eastAsia="zh-CN"/>
        </w:rPr>
        <w:br/>
      </w:r>
      <w:r w:rsidR="00495B3B" w:rsidRPr="00495B3B">
        <w:rPr>
          <w:rFonts w:ascii="Arial" w:hAnsi="Arial" w:cs="Arial"/>
          <w:bCs/>
          <w:color w:val="442D97"/>
          <w:sz w:val="28"/>
          <w:szCs w:val="28"/>
          <w:lang w:eastAsia="zh-CN"/>
        </w:rPr>
        <w:t>Context</w:t>
      </w:r>
    </w:p>
    <w:sdt>
      <w:sdtPr>
        <w:rPr>
          <w:rFonts w:ascii="Arial" w:hAnsi="Arial" w:cs="Arial"/>
          <w:noProof/>
          <w:color w:val="000000"/>
          <w:lang w:eastAsia="zh-CN"/>
        </w:rPr>
        <w:alias w:val="Context Value"/>
        <w:tag w:val="Context Value"/>
        <w:id w:val="-1004288308"/>
        <w:placeholder>
          <w:docPart w:val="DefaultPlaceholder_-1854013440"/>
        </w:placeholder>
        <w:temporary/>
        <w:text w:multiLine="1"/>
      </w:sdtPr>
      <w:sdtEndPr/>
      <w:sdtContent>
        <w:p w14:paraId="50F54972" w14:textId="0108BBC4" w:rsidR="00EB7456" w:rsidRPr="00495B3B" w:rsidRDefault="00EB7456" w:rsidP="00495B3B">
          <w:pPr>
            <w:keepNext/>
            <w:spacing w:line="240" w:lineRule="auto"/>
            <w:rPr>
              <w:rFonts w:ascii="Arial" w:hAnsi="Arial" w:cs="Arial"/>
              <w:noProof/>
              <w:color w:val="000000"/>
              <w:lang w:eastAsia="zh-CN"/>
            </w:rPr>
          </w:pPr>
          <w:r>
            <w:rPr>
              <w:rFonts w:ascii="Arial" w:hAnsi="Arial" w:cs="Arial"/>
              <w:noProof/>
              <w:color w:val="000000"/>
              <w:lang w:eastAsia="zh-CN"/>
            </w:rPr>
            <w:t>The Group</w:t>
          </w:r>
          <w:r>
            <w:rPr>
              <w:rFonts w:ascii="Arial" w:hAnsi="Arial" w:cs="Arial"/>
              <w:noProof/>
              <w:color w:val="000000"/>
              <w:lang w:eastAsia="zh-CN"/>
            </w:rPr>
            <w:br/>
          </w:r>
          <w:r>
            <w:rPr>
              <w:rFonts w:ascii="Arial" w:hAnsi="Arial" w:cs="Arial"/>
              <w:noProof/>
              <w:color w:val="000000"/>
              <w:lang w:eastAsia="zh-CN"/>
            </w:rPr>
            <w:br/>
            <w:t>Corporate Services comprises seven divisions which includes People and Culture, Finance, Information Services, Digital and Customer Communications, Legal and Governance, Strategic Operations and Strategy and Performance. Each deliver services and expert advice that enables the department to be a sustainable, vibrant, and efficient organisation</w:t>
          </w:r>
        </w:p>
      </w:sdtContent>
    </w:sdt>
    <w:p w14:paraId="31DEE5EB" w14:textId="23E78675" w:rsidR="00495B3B" w:rsidRPr="007E05A8"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137FA38" w14:textId="77777777" w:rsidR="005A0C6C" w:rsidRP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t xml:space="preserve">Lead the planning, development and implementation of strategies for smooth operation and enhancements of all Enterprise Support Systems. </w:t>
      </w:r>
    </w:p>
    <w:p w14:paraId="4B88382B" w14:textId="77777777" w:rsidR="005A0C6C" w:rsidRP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t xml:space="preserve">Monitor, measure and report on core KPI targets.  </w:t>
      </w:r>
    </w:p>
    <w:p w14:paraId="47ACA87C" w14:textId="77777777" w:rsidR="005A0C6C" w:rsidRP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t xml:space="preserve">Use all means and opportunities to continually improve the Quality of Service </w:t>
      </w:r>
    </w:p>
    <w:p w14:paraId="6796A31D" w14:textId="0D246112" w:rsidR="005A0C6C" w:rsidRP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t xml:space="preserve">Manage and develop direct reporting staff </w:t>
      </w:r>
    </w:p>
    <w:p w14:paraId="75C6E3E0" w14:textId="77777777" w:rsidR="005A0C6C" w:rsidRP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t xml:space="preserve">Review and manage the Master Services Agreements and Statements of Work to ensure that vendors and service providers deliver to commitments.  </w:t>
      </w:r>
    </w:p>
    <w:p w14:paraId="6C9A701D" w14:textId="77777777" w:rsidR="005A0C6C" w:rsidRP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lastRenderedPageBreak/>
        <w:t xml:space="preserve">Consult with project teams on service functionality, service implementation and handover into operational environment. </w:t>
      </w:r>
    </w:p>
    <w:p w14:paraId="31180152" w14:textId="77777777" w:rsid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t>Manage internal and external escalations to ensure successful resolution of any issues with the systems.</w:t>
      </w:r>
    </w:p>
    <w:p w14:paraId="1AEE2617" w14:textId="72F218E1" w:rsidR="00495B3B" w:rsidRPr="005A0C6C" w:rsidRDefault="007161B9" w:rsidP="005A0C6C">
      <w:pPr>
        <w:pStyle w:val="ListParagraph"/>
        <w:numPr>
          <w:ilvl w:val="0"/>
          <w:numId w:val="49"/>
        </w:numPr>
        <w:spacing w:before="0" w:after="0" w:line="240" w:lineRule="auto"/>
        <w:rPr>
          <w:rFonts w:ascii="Arial" w:hAnsi="Arial" w:cs="Arial"/>
          <w:color w:val="1A1A1A"/>
        </w:rPr>
      </w:pPr>
      <w:r w:rsidRPr="005A0C6C">
        <w:rPr>
          <w:rFonts w:ascii="Arial" w:hAnsi="Arial" w:cs="Arial"/>
          <w:color w:val="1A1A1A"/>
        </w:rPr>
        <w:t xml:space="preserve">To practice cultural safety by creating environments, </w:t>
      </w:r>
      <w:r w:rsidR="2DA398B5" w:rsidRPr="005A0C6C">
        <w:rPr>
          <w:rFonts w:ascii="Arial" w:hAnsi="Arial" w:cs="Arial"/>
          <w:color w:val="1A1A1A"/>
        </w:rPr>
        <w:t>relationships,</w:t>
      </w:r>
      <w:r w:rsidRPr="005A0C6C">
        <w:rPr>
          <w:rFonts w:ascii="Arial" w:hAnsi="Arial" w:cs="Arial"/>
          <w:color w:val="1A1A1A"/>
        </w:rPr>
        <w:t xml:space="preserve"> and systems free from racism and discrimination so that people can feel safe, valued and able to participate.</w:t>
      </w:r>
    </w:p>
    <w:p w14:paraId="3D3807B0" w14:textId="549CE834" w:rsidR="00495B3B" w:rsidRPr="005A0C6C" w:rsidRDefault="005A0C6C" w:rsidP="6A883EE6">
      <w:pPr>
        <w:keepNext/>
        <w:spacing w:before="0" w:line="240" w:lineRule="auto"/>
      </w:pPr>
      <w:r>
        <w:br/>
      </w:r>
      <w:r w:rsidR="684699BE" w:rsidRPr="6A883EE6">
        <w:rPr>
          <w:rFonts w:ascii="Arial" w:hAnsi="Arial" w:cs="Arial"/>
          <w:color w:val="442D97" w:themeColor="accent4" w:themeTint="BF"/>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16F5956" w14:textId="487ECD07" w:rsidR="00012445" w:rsidRPr="00C9519C" w:rsidRDefault="3A391991" w:rsidP="152715DC">
      <w:pPr>
        <w:pStyle w:val="ListParagraph"/>
        <w:numPr>
          <w:ilvl w:val="0"/>
          <w:numId w:val="1"/>
        </w:numPr>
        <w:spacing w:before="0" w:after="0"/>
        <w:rPr>
          <w:rFonts w:ascii="Arial" w:hAnsi="Arial" w:cs="Arial"/>
          <w:color w:val="363534"/>
        </w:rPr>
      </w:pPr>
      <w:r w:rsidRPr="28F304C4">
        <w:rPr>
          <w:rFonts w:ascii="Arial" w:hAnsi="Arial" w:cs="Arial"/>
          <w:color w:val="363534"/>
        </w:rPr>
        <w:t xml:space="preserve">Solid understanding of enterprise support systems such as </w:t>
      </w:r>
      <w:r w:rsidR="76381EA3" w:rsidRPr="28F304C4">
        <w:rPr>
          <w:rFonts w:ascii="Arial" w:hAnsi="Arial" w:cs="Arial"/>
          <w:color w:val="363534"/>
        </w:rPr>
        <w:t>Oracle Financials, SAP</w:t>
      </w:r>
      <w:r w:rsidRPr="28F304C4">
        <w:rPr>
          <w:rFonts w:ascii="Arial" w:hAnsi="Arial" w:cs="Arial"/>
          <w:color w:val="363534"/>
        </w:rPr>
        <w:t xml:space="preserve"> payroll, </w:t>
      </w:r>
      <w:r w:rsidR="6F9603FB" w:rsidRPr="28F304C4">
        <w:rPr>
          <w:rFonts w:ascii="Arial" w:hAnsi="Arial" w:cs="Arial"/>
          <w:color w:val="363534"/>
        </w:rPr>
        <w:t>SuccessFactors -</w:t>
      </w:r>
      <w:r w:rsidRPr="28F304C4">
        <w:rPr>
          <w:rFonts w:ascii="Arial" w:hAnsi="Arial" w:cs="Arial"/>
          <w:color w:val="363534"/>
        </w:rPr>
        <w:t>human capital management</w:t>
      </w:r>
    </w:p>
    <w:p w14:paraId="041B36D3" w14:textId="522B9915" w:rsidR="00012445" w:rsidRPr="00C9519C" w:rsidRDefault="3A391991" w:rsidP="152715DC">
      <w:pPr>
        <w:pStyle w:val="ListParagraph"/>
        <w:numPr>
          <w:ilvl w:val="0"/>
          <w:numId w:val="1"/>
        </w:numPr>
        <w:spacing w:before="0" w:after="0"/>
        <w:rPr>
          <w:rFonts w:ascii="Arial" w:hAnsi="Arial" w:cs="Arial"/>
          <w:color w:val="363534"/>
        </w:rPr>
      </w:pPr>
      <w:r w:rsidRPr="7A8FAF93">
        <w:rPr>
          <w:rFonts w:ascii="Arial" w:hAnsi="Arial" w:cs="Arial"/>
          <w:color w:val="363534"/>
        </w:rPr>
        <w:t xml:space="preserve">7+ years of management experience specifically in managing teams that provide support to essential business services </w:t>
      </w:r>
    </w:p>
    <w:p w14:paraId="6AA0F313" w14:textId="1D25622D" w:rsidR="00012445" w:rsidRPr="00C9519C" w:rsidRDefault="3A391991" w:rsidP="152715DC">
      <w:pPr>
        <w:pStyle w:val="ListParagraph"/>
        <w:numPr>
          <w:ilvl w:val="0"/>
          <w:numId w:val="1"/>
        </w:numPr>
        <w:spacing w:before="0" w:after="0"/>
        <w:rPr>
          <w:rFonts w:ascii="Arial" w:hAnsi="Arial" w:cs="Arial"/>
          <w:color w:val="363534"/>
        </w:rPr>
      </w:pPr>
      <w:r w:rsidRPr="7A8FAF93">
        <w:rPr>
          <w:rFonts w:ascii="Arial" w:hAnsi="Arial" w:cs="Arial"/>
          <w:color w:val="363534"/>
        </w:rPr>
        <w:t xml:space="preserve">Strong stakeholder management skills at executive levels </w:t>
      </w:r>
    </w:p>
    <w:p w14:paraId="04357CFD" w14:textId="19671F1C" w:rsidR="00012445" w:rsidRPr="00C9519C" w:rsidRDefault="3A391991" w:rsidP="152715DC">
      <w:pPr>
        <w:pStyle w:val="ListParagraph"/>
        <w:numPr>
          <w:ilvl w:val="0"/>
          <w:numId w:val="1"/>
        </w:numPr>
        <w:spacing w:before="0" w:after="0"/>
        <w:rPr>
          <w:rFonts w:ascii="Arial" w:hAnsi="Arial" w:cs="Arial"/>
          <w:color w:val="363534"/>
        </w:rPr>
      </w:pPr>
      <w:r w:rsidRPr="7A8FAF93">
        <w:rPr>
          <w:rFonts w:ascii="Arial" w:hAnsi="Arial" w:cs="Arial"/>
          <w:color w:val="363534"/>
        </w:rPr>
        <w:t xml:space="preserve">Vendor management skills </w:t>
      </w:r>
    </w:p>
    <w:p w14:paraId="48E09780" w14:textId="4CB16C0B" w:rsidR="00012445" w:rsidRPr="00C9519C" w:rsidRDefault="3A391991" w:rsidP="152715DC">
      <w:pPr>
        <w:pStyle w:val="ListParagraph"/>
        <w:numPr>
          <w:ilvl w:val="0"/>
          <w:numId w:val="1"/>
        </w:numPr>
        <w:spacing w:before="0" w:after="0"/>
        <w:rPr>
          <w:rFonts w:ascii="Arial" w:hAnsi="Arial" w:cs="Arial"/>
          <w:color w:val="363534"/>
        </w:rPr>
      </w:pPr>
      <w:r w:rsidRPr="7A8FAF93">
        <w:rPr>
          <w:rFonts w:ascii="Arial" w:hAnsi="Arial" w:cs="Arial"/>
          <w:color w:val="363534"/>
        </w:rPr>
        <w:t xml:space="preserve">ITIL Certified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917384B" w14:textId="770B400B" w:rsidR="00375F5B" w:rsidRPr="00292E2B" w:rsidRDefault="00F8586E" w:rsidP="00FE381D">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DefaultPlaceholder_-1854013440"/>
          </w:placeholder>
          <w:temporary/>
          <w:text w:multiLine="1"/>
        </w:sdtPr>
        <w:sdtEndPr/>
        <w:sdtContent>
          <w:r w:rsidR="00920C63">
            <w:rPr>
              <w:rFonts w:ascii="Arial" w:hAnsi="Arial" w:cs="Arial"/>
              <w:color w:val="000000"/>
              <w:lang w:eastAsia="zh-CN"/>
            </w:rPr>
            <w:t>Communicate with Impact: Makes a positive impression on others &amp; comes across with credibility; Communicates orally in a manner that is clear fluent and holds the listeners' attention; Able to deal with difficult &amp; sensitive topics &amp; questions.</w:t>
          </w:r>
        </w:sdtContent>
      </w:sdt>
    </w:p>
    <w:p w14:paraId="6D528596" w14:textId="00F0D335" w:rsidR="00375F5B" w:rsidRPr="00292E2B" w:rsidRDefault="00F8586E" w:rsidP="00FE381D">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292087391"/>
          <w:placeholder>
            <w:docPart w:val="DefaultPlaceholder_-1854013440"/>
          </w:placeholder>
          <w:temporary/>
          <w:text w:multiLine="1"/>
        </w:sdtPr>
        <w:sdtEndPr/>
        <w:sdtContent>
          <w:r w:rsidR="00920C63">
            <w:rPr>
              <w:rFonts w:ascii="Arial" w:hAnsi="Arial" w:cs="Arial"/>
              <w:color w:val="000000"/>
              <w:lang w:eastAsia="zh-CN"/>
            </w:rPr>
            <w:t xml:space="preserve">Critical Thinking and Problem Solving: </w:t>
          </w:r>
          <w:proofErr w:type="gramStart"/>
          <w:r w:rsidR="00920C63">
            <w:rPr>
              <w:rFonts w:ascii="Arial" w:hAnsi="Arial" w:cs="Arial"/>
              <w:color w:val="000000"/>
              <w:lang w:eastAsia="zh-CN"/>
            </w:rPr>
            <w:t>Takes into account</w:t>
          </w:r>
          <w:proofErr w:type="gramEnd"/>
          <w:r w:rsidR="00920C63">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00920C63">
            <w:rPr>
              <w:rFonts w:ascii="Arial" w:hAnsi="Arial" w:cs="Arial"/>
              <w:color w:val="000000"/>
              <w:lang w:eastAsia="zh-CN"/>
            </w:rPr>
            <w:t>as a result of</w:t>
          </w:r>
          <w:proofErr w:type="gramEnd"/>
          <w:r w:rsidR="00920C63">
            <w:rPr>
              <w:rFonts w:ascii="Arial" w:hAnsi="Arial" w:cs="Arial"/>
              <w:color w:val="000000"/>
              <w:lang w:eastAsia="zh-CN"/>
            </w:rPr>
            <w:t xml:space="preserve"> critically evaluating problems from multiple perspectives and delivering effective solutions.</w:t>
          </w:r>
        </w:sdtContent>
      </w:sdt>
    </w:p>
    <w:p w14:paraId="1B21F125" w14:textId="319DFD93" w:rsidR="00375F5B" w:rsidRPr="00292E2B" w:rsidRDefault="00F8586E" w:rsidP="00FE381D">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220638876"/>
          <w:placeholder>
            <w:docPart w:val="DefaultPlaceholder_-1854013440"/>
          </w:placeholder>
          <w:temporary/>
          <w:text w:multiLine="1"/>
        </w:sdtPr>
        <w:sdtEndPr/>
        <w:sdtContent>
          <w:r w:rsidR="00920C63">
            <w:rPr>
              <w:rFonts w:ascii="Arial" w:hAnsi="Arial" w:cs="Arial"/>
              <w:color w:val="000000"/>
              <w:lang w:eastAsia="zh-CN"/>
            </w:rPr>
            <w:t>Customer Focus: Monitors customer satisfaction to gain critical insights; Looks for continuous improvement opportunities and ways to innovate.</w:t>
          </w:r>
        </w:sdtContent>
      </w:sdt>
    </w:p>
    <w:p w14:paraId="0BB06E17" w14:textId="0A9DE774" w:rsidR="00375F5B" w:rsidRPr="00292E2B" w:rsidRDefault="00F8586E" w:rsidP="00FE381D">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436493975"/>
          <w:placeholder>
            <w:docPart w:val="DefaultPlaceholder_-1854013440"/>
          </w:placeholder>
          <w:temporary/>
          <w:text w:multiLine="1"/>
        </w:sdtPr>
        <w:sdtEndPr/>
        <w:sdtContent>
          <w:r w:rsidR="00920C63">
            <w:rPr>
              <w:rFonts w:ascii="Arial" w:hAnsi="Arial" w:cs="Arial"/>
              <w:color w:val="000000"/>
              <w:lang w:eastAsia="zh-CN"/>
            </w:rPr>
            <w:t>Data Literacy: Considers data sources, collection and structure impacts in the delivery of data analysis. Generates descriptive statistics and relevant data visualisation leading to decisions under the guidance from subject matter experts. Ability to utilise advanced excel formulas, pivot tables and generation of data charts is required.</w:t>
          </w:r>
        </w:sdtContent>
      </w:sdt>
    </w:p>
    <w:p w14:paraId="01EE42CD" w14:textId="504C2A1A" w:rsidR="00375F5B" w:rsidRPr="00292E2B" w:rsidRDefault="00F8586E" w:rsidP="00FE381D">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820194568"/>
          <w:placeholder>
            <w:docPart w:val="DefaultPlaceholder_-1854013440"/>
          </w:placeholder>
          <w:temporary/>
          <w:text w:multiLine="1"/>
        </w:sdtPr>
        <w:sdtEndPr/>
        <w:sdtContent>
          <w:r w:rsidR="00920C63">
            <w:rPr>
              <w:rFonts w:ascii="Arial" w:hAnsi="Arial" w:cs="Arial"/>
              <w:color w:val="000000"/>
              <w:lang w:eastAsia="zh-CN"/>
            </w:rPr>
            <w:t>Digital and Technological Literacy: Integrates improved capabilities into service delivery processes. Assumes the role of solution architect or project manager where there’s a balanced focus between technology focus and strategy focus.</w:t>
          </w:r>
        </w:sdtContent>
      </w:sdt>
    </w:p>
    <w:p w14:paraId="6A28D6AE" w14:textId="55FA6DA7" w:rsidR="00375F5B" w:rsidRPr="00292E2B" w:rsidRDefault="00F8586E" w:rsidP="00FE381D">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2128233640"/>
          <w:placeholder>
            <w:docPart w:val="DefaultPlaceholder_-1854013440"/>
          </w:placeholder>
          <w:temporary/>
          <w:text w:multiLine="1"/>
        </w:sdtPr>
        <w:sdtEndPr/>
        <w:sdtContent>
          <w:r w:rsidR="00920C63">
            <w:rPr>
              <w:rFonts w:ascii="Arial" w:hAnsi="Arial" w:cs="Arial"/>
              <w:color w:val="000000"/>
              <w:lang w:eastAsia="zh-CN"/>
            </w:rPr>
            <w:t>Future Focus: Understands the broader context when reviewing an issue or problem and supports others to do so. Is future oriented in analysis, thought and action; Actively seeks out new technology to enhance team systems, processes and service delivery. Undertakes planning to ensure the organisation is future ready through managing change.</w:t>
          </w:r>
        </w:sdtContent>
      </w:sdt>
    </w:p>
    <w:p w14:paraId="59BFACF0" w14:textId="4E2905A1" w:rsidR="00375F5B" w:rsidRPr="003A15BC" w:rsidRDefault="00F8586E" w:rsidP="003A15BC">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798604756"/>
          <w:placeholder>
            <w:docPart w:val="DefaultPlaceholder_-1854013440"/>
          </w:placeholder>
          <w:temporary/>
          <w:text w:multiLine="1"/>
        </w:sdtPr>
        <w:sdtEndPr/>
        <w:sdtContent>
          <w:r w:rsidR="00920C63">
            <w:rPr>
              <w:rFonts w:ascii="Arial" w:hAnsi="Arial" w:cs="Arial"/>
              <w:color w:val="000000"/>
              <w:lang w:eastAsia="zh-CN"/>
            </w:rPr>
            <w:t>Business and Commercial Acumen: Understands associated costs of operations and seek efficient ways of operating. Where external vendors are involved, ensure good understanding on engagement terms and hold parties involved accountable in delivering against agreement.</w:t>
          </w:r>
        </w:sdtContent>
      </w:sdt>
    </w:p>
    <w:p w14:paraId="2D0EC1DC" w14:textId="0AAE04B9" w:rsidR="00375F5B" w:rsidRPr="00292E2B" w:rsidRDefault="00F8586E" w:rsidP="00FE381D">
      <w:pPr>
        <w:pStyle w:val="ListParagraph"/>
        <w:numPr>
          <w:ilvl w:val="0"/>
          <w:numId w:val="47"/>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2126808443"/>
          <w:placeholder>
            <w:docPart w:val="DefaultPlaceholder_-1854013440"/>
          </w:placeholder>
          <w:temporary/>
          <w:text w:multiLine="1"/>
        </w:sdtPr>
        <w:sdtEndPr/>
        <w:sdtContent>
          <w:r w:rsidR="00920C63">
            <w:rPr>
              <w:rFonts w:ascii="Arial" w:hAnsi="Arial" w:cs="Arial"/>
              <w:color w:val="000000"/>
              <w:lang w:eastAsia="zh-CN"/>
            </w:rPr>
            <w:t>Innovation and Continuous Improvement: Drives a culture of quality by design where quality practices are embedded in the service and solution delivery process; Shares expertise and relevant information to support continuous improvement and innovation; Establishes metrics that evaluate quality and effectiveness of work delivered; Models and encourages new &amp; different approaches, ways of working &amp; solutions that will deliver outcomes beyond client or stakeholder expectations.</w:t>
          </w:r>
        </w:sdtContent>
      </w:sdt>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1313FA00" w14:textId="1828637D" w:rsidR="00495B3B" w:rsidRPr="00495B3B" w:rsidRDefault="00495B3B" w:rsidP="6A883EE6">
      <w:pPr>
        <w:keepNext/>
        <w:spacing w:before="0" w:line="240" w:lineRule="auto"/>
        <w:rPr>
          <w:rFonts w:ascii="Arial" w:hAnsi="Arial" w:cs="Arial"/>
          <w:color w:val="442D97" w:themeColor="accent4" w:themeTint="BF"/>
          <w:sz w:val="28"/>
          <w:szCs w:val="28"/>
          <w:lang w:eastAsia="zh-CN"/>
        </w:rPr>
      </w:pPr>
    </w:p>
    <w:p w14:paraId="72CE8D2C" w14:textId="7B87611A" w:rsidR="00495B3B" w:rsidRPr="005A0C6C" w:rsidRDefault="684699BE" w:rsidP="6A883EE6">
      <w:pPr>
        <w:keepNext/>
        <w:spacing w:before="0" w:line="240" w:lineRule="auto"/>
      </w:pPr>
      <w:r w:rsidRPr="6A883EE6">
        <w:rPr>
          <w:rFonts w:ascii="Arial" w:hAnsi="Arial" w:cs="Arial"/>
          <w:color w:val="442D97" w:themeColor="accent4" w:themeTint="BF"/>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76DEEB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770B8216" w14:textId="78238D04" w:rsidR="00033E8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sdt>
              <w:sdtPr>
                <w:rPr>
                  <w:rFonts w:cs="Arial"/>
                  <w:color w:val="1A1A1A"/>
                </w:rPr>
                <w:alias w:val="Financial Delegation Value"/>
                <w:tag w:val="Financial Delegation Value"/>
                <w:id w:val="-1731926541"/>
                <w:placeholder>
                  <w:docPart w:val="DefaultPlaceholder_-1854013440"/>
                </w:placeholder>
                <w:temporary/>
                <w:text/>
              </w:sdtPr>
              <w:sdtEndPr/>
              <w:sdtContent>
                <w:r w:rsidR="00033E84" w:rsidRPr="00182BF2">
                  <w:rPr>
                    <w:rFonts w:cs="Arial"/>
                    <w:color w:val="1A1A1A"/>
                    <w:sz w:val="20"/>
                  </w:rPr>
                  <w:t>0</w:t>
                </w:r>
              </w:sdtContent>
            </w:sdt>
            <w:r w:rsidRPr="00495B3B">
              <w:rPr>
                <w:rFonts w:cs="Arial"/>
                <w:color w:val="1A1A1A"/>
                <w:sz w:val="20"/>
              </w:rPr>
              <w:t xml:space="preserve"> </w:t>
            </w:r>
          </w:p>
          <w:p w14:paraId="2DBD5EFC" w14:textId="2DB0E9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76DEEB3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182BF2" w:rsidRDefault="00495B3B" w:rsidP="00495B3B">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27CBD948" w:rsidR="00F06433" w:rsidRPr="00A05FC3" w:rsidRDefault="00F8586E"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1A1A1A"/>
                </w:rPr>
                <w:alias w:val="OHS Requirements"/>
                <w:tag w:val="OHS Requirements"/>
                <w:id w:val="-517621778"/>
                <w:placeholder>
                  <w:docPart w:val="DefaultPlaceholder_-1854013440"/>
                </w:placeholder>
                <w:temporary/>
                <w:text w:multiLine="1"/>
              </w:sdtPr>
              <w:sdtEndPr/>
              <w:sdtContent>
                <w:r w:rsidR="00EB7456" w:rsidRPr="00182BF2">
                  <w:rPr>
                    <w:rFonts w:ascii="Arial" w:hAnsi="Arial" w:cs="Arial"/>
                    <w:color w:val="1A1A1A"/>
                    <w:sz w:val="20"/>
                  </w:rPr>
                  <w:t>• Sedentary desk work</w:t>
                </w:r>
              </w:sdtContent>
            </w:sdt>
          </w:p>
        </w:tc>
      </w:tr>
      <w:tr w:rsidR="00495B3B" w:rsidRPr="00495B3B" w14:paraId="7CD2DEBC" w14:textId="77777777" w:rsidTr="76DEEB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495B3B" w:rsidRDefault="00495B3B" w:rsidP="4E7FE79E">
            <w:pPr>
              <w:rPr>
                <w:rFonts w:ascii="Arial" w:hAnsi="Arial" w:cs="Arial"/>
                <w:color w:val="1A1A1A"/>
                <w:sz w:val="20"/>
              </w:rPr>
            </w:pPr>
            <w:r w:rsidRPr="00495B3B">
              <w:rPr>
                <w:rFonts w:ascii="Arial" w:hAnsi="Arial" w:cs="Arial"/>
                <w:color w:val="1A1A1A"/>
                <w:sz w:val="20"/>
              </w:rPr>
              <w:lastRenderedPageBreak/>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6629947F" w14:textId="4B232EB5" w:rsidR="005A0C6C" w:rsidRPr="00495B3B" w:rsidRDefault="005A0C6C" w:rsidP="005A0C6C">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FC3A81A" w:rsidR="00182BF2" w:rsidRPr="005A0C6C" w:rsidRDefault="005A0C6C" w:rsidP="005A0C6C">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A3176C" w:rsidRPr="00495B3B" w14:paraId="30703C6E" w14:textId="77777777" w:rsidTr="76DEEB39">
        <w:tc>
          <w:tcPr>
            <w:cnfStyle w:val="001000000000" w:firstRow="0" w:lastRow="0" w:firstColumn="1" w:lastColumn="0" w:oddVBand="0" w:evenVBand="0" w:oddHBand="0" w:evenHBand="0" w:firstRowFirstColumn="0" w:firstRowLastColumn="0" w:lastRowFirstColumn="0" w:lastRowLastColumn="0"/>
            <w:tcW w:w="3402" w:type="dxa"/>
            <w:tcBorders>
              <w:top w:val="nil"/>
            </w:tcBorders>
            <w:shd w:val="clear" w:color="auto" w:fill="auto"/>
          </w:tcPr>
          <w:p w14:paraId="14924938" w14:textId="3014B8D3" w:rsidR="00A3176C" w:rsidRPr="00920C63" w:rsidRDefault="00A3176C" w:rsidP="76DEEB39">
            <w:pPr>
              <w:rPr>
                <w:rFonts w:ascii="Arial" w:hAnsi="Arial" w:cs="Arial"/>
                <w:color w:val="1A1A1A"/>
                <w:sz w:val="20"/>
              </w:rPr>
            </w:pPr>
          </w:p>
        </w:tc>
        <w:tc>
          <w:tcPr>
            <w:tcW w:w="6803" w:type="dxa"/>
            <w:tcBorders>
              <w:top w:val="nil"/>
            </w:tcBorders>
            <w:shd w:val="clear" w:color="auto" w:fill="auto"/>
          </w:tcPr>
          <w:p w14:paraId="4B0F9913" w14:textId="01E7053E" w:rsidR="00A3176C" w:rsidRPr="00495B3B" w:rsidRDefault="00A3176C" w:rsidP="00A3176C">
            <w:pPr>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76DEEB39">
              <w:rPr>
                <w:rFonts w:ascii="Arial" w:hAnsi="Arial" w:cs="Arial"/>
                <w:color w:val="1A1A1A"/>
                <w:sz w:val="20"/>
              </w:rPr>
              <w:t>This position has a requirement to work shift work or out of hours work will be required that will involve evening or weekend work including occasional overnight travel</w:t>
            </w:r>
            <w:r w:rsidRPr="76DEEB39">
              <w:rPr>
                <w:rFonts w:ascii="Arial" w:hAnsi="Arial" w:cs="Arial"/>
                <w:color w:val="1A1A1A"/>
              </w:rPr>
              <w:t>.</w:t>
            </w:r>
          </w:p>
        </w:tc>
      </w:tr>
      <w:bookmarkEnd w:id="2"/>
      <w:tr w:rsidR="00495B3B" w:rsidRPr="00495B3B" w14:paraId="555B356F" w14:textId="77777777" w:rsidTr="76DEEB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tcPr>
          <w:p w14:paraId="5C30C0A4" w14:textId="34230549" w:rsidR="00495B3B" w:rsidRPr="005A0C6C" w:rsidRDefault="005A0C6C" w:rsidP="005A0C6C">
            <w:pPr>
              <w:autoSpaceDE w:val="0"/>
              <w:autoSpaceDN w:val="0"/>
              <w:adjustRightInd w:val="0"/>
              <w:spacing w:before="120" w:after="120" w:line="240" w:lineRule="auto"/>
              <w:ind w:left="139"/>
              <w:outlineLvl w:val="1"/>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5A0C6C">
              <w:rPr>
                <w:rFonts w:ascii="Arial" w:hAnsi="Arial" w:cs="Arial"/>
                <w:color w:val="1A1A1A"/>
                <w:sz w:val="20"/>
              </w:rPr>
              <w:t>Are governed by the Victorian Public Service Enterprise Agreement 2024 and the Public Administration Act 2004.</w:t>
            </w:r>
            <w:r w:rsidRPr="005A0C6C">
              <w:rPr>
                <w:rFonts w:ascii="Arial" w:hAnsi="Arial" w:cs="Arial"/>
                <w:color w:val="1A1A1A"/>
                <w:sz w:val="20"/>
              </w:rPr>
              <w:br/>
            </w:r>
            <w:r w:rsidRPr="005A0C6C">
              <w:rPr>
                <w:rFonts w:ascii="Arial" w:hAnsi="Arial" w:cs="Arial"/>
                <w:color w:val="1A1A1A"/>
                <w:sz w:val="20"/>
              </w:rPr>
              <w:t>Recipients of Victorian Public Service (VPS) voluntary departure packages should note that re-employment restrictions apply</w:t>
            </w:r>
            <w:r w:rsidRPr="005A0C6C">
              <w:rPr>
                <w:rFonts w:ascii="Arial" w:hAnsi="Arial" w:cs="Arial"/>
                <w:color w:val="1A1A1A"/>
                <w:sz w:val="20"/>
              </w:rPr>
              <w:br/>
            </w:r>
            <w:proofErr w:type="gramStart"/>
            <w:r w:rsidRPr="005A0C6C">
              <w:rPr>
                <w:rFonts w:ascii="Arial" w:hAnsi="Arial" w:cs="Arial"/>
                <w:color w:val="1A1A1A"/>
                <w:sz w:val="20"/>
              </w:rPr>
              <w:t>Non-VPS</w:t>
            </w:r>
            <w:proofErr w:type="gramEnd"/>
            <w:r w:rsidRPr="005A0C6C">
              <w:rPr>
                <w:rFonts w:ascii="Arial" w:hAnsi="Arial" w:cs="Arial"/>
                <w:color w:val="1A1A1A"/>
                <w:sz w:val="20"/>
              </w:rPr>
              <w:t xml:space="preserve"> applicants will be subject to a probation period of six months</w:t>
            </w:r>
          </w:p>
        </w:tc>
      </w:tr>
      <w:tr w:rsidR="005A0C6C" w:rsidRPr="00495B3B" w14:paraId="10873C64" w14:textId="77777777" w:rsidTr="76DEEB3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5A0C6C" w:rsidRPr="00495B3B" w:rsidRDefault="005A0C6C" w:rsidP="005A0C6C">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2606F64D" w:rsidR="005A0C6C" w:rsidRPr="00495B3B" w:rsidRDefault="005A0C6C" w:rsidP="005A0C6C">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39ED195" w14:textId="77777777" w:rsidR="005A0C6C" w:rsidRPr="00495B3B" w:rsidRDefault="005A0C6C" w:rsidP="005A0C6C">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EDB029E" w14:textId="77777777" w:rsidR="005A0C6C" w:rsidRPr="00454423" w:rsidRDefault="005A0C6C" w:rsidP="005A0C6C">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30037CC" w14:textId="77777777" w:rsidR="005A0C6C" w:rsidRPr="005763CD" w:rsidRDefault="005A0C6C" w:rsidP="005A0C6C">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A696320" w14:textId="77777777" w:rsidR="005A0C6C" w:rsidRPr="005763CD" w:rsidRDefault="005A0C6C" w:rsidP="005A0C6C">
      <w:pPr>
        <w:spacing w:before="0" w:after="0"/>
        <w:rPr>
          <w:rFonts w:ascii="Arial" w:hAnsi="Arial" w:cs="Arial"/>
        </w:rPr>
      </w:pPr>
    </w:p>
    <w:p w14:paraId="380CB08C" w14:textId="77777777" w:rsidR="005A0C6C" w:rsidRPr="005763CD" w:rsidRDefault="005A0C6C" w:rsidP="005A0C6C">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59DDB051" w14:textId="77777777" w:rsidR="005A0C6C" w:rsidRPr="00495B3B" w:rsidRDefault="005A0C6C" w:rsidP="005A0C6C">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8C1FBE1" w14:textId="77777777" w:rsidR="005A0C6C" w:rsidRPr="002775A7" w:rsidRDefault="005A0C6C" w:rsidP="005A0C6C">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BA1B3F1" w14:textId="43B66835" w:rsidR="005A0C6C" w:rsidRPr="005A0C6C" w:rsidRDefault="005A0C6C" w:rsidP="005A0C6C">
      <w:pPr>
        <w:rPr>
          <w:rFonts w:ascii="Arial" w:hAnsi="Arial" w:cs="Arial"/>
          <w:color w:val="000000"/>
          <w:szCs w:val="22"/>
        </w:rPr>
      </w:pPr>
      <w:r w:rsidRPr="00AC1638">
        <w:rPr>
          <w:rFonts w:ascii="Arial" w:eastAsia="Microsoft JhengHei" w:hAnsi="Arial"/>
          <w:color w:val="442D97"/>
          <w:sz w:val="28"/>
          <w:szCs w:val="28"/>
        </w:rPr>
        <w:t>Our Community Charter</w:t>
      </w:r>
    </w:p>
    <w:p w14:paraId="65811577" w14:textId="77777777" w:rsidR="005A0C6C" w:rsidRPr="00AC1638" w:rsidRDefault="005A0C6C" w:rsidP="005A0C6C">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4216C2B" w14:textId="77777777" w:rsidR="005A0C6C" w:rsidRPr="00495B3B" w:rsidRDefault="005A0C6C" w:rsidP="005A0C6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13F83B7" w14:textId="77777777" w:rsidR="005A0C6C" w:rsidRDefault="005A0C6C" w:rsidP="005A0C6C">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CACD201" w14:textId="77777777" w:rsidR="005A0C6C" w:rsidRPr="00495B3B" w:rsidRDefault="005A0C6C" w:rsidP="005A0C6C">
      <w:pPr>
        <w:spacing w:line="240" w:lineRule="auto"/>
        <w:contextualSpacing/>
        <w:outlineLvl w:val="1"/>
        <w:rPr>
          <w:rFonts w:ascii="Arial" w:hAnsi="Arial" w:cs="Arial"/>
          <w:color w:val="363534"/>
        </w:rPr>
      </w:pPr>
    </w:p>
    <w:p w14:paraId="3D0157FD" w14:textId="77777777" w:rsidR="005A0C6C" w:rsidRPr="00495B3B" w:rsidRDefault="005A0C6C" w:rsidP="005A0C6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79966D7" w14:textId="77777777" w:rsidR="005A0C6C" w:rsidRPr="00495B3B" w:rsidRDefault="005A0C6C" w:rsidP="005A0C6C">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30B2F74" w14:textId="77777777" w:rsidR="005A0C6C" w:rsidRPr="00495B3B" w:rsidRDefault="005A0C6C" w:rsidP="005A0C6C">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F285DF6" w14:textId="77777777" w:rsidR="005A0C6C" w:rsidRPr="00495B3B" w:rsidRDefault="005A0C6C" w:rsidP="005A0C6C">
      <w:pPr>
        <w:spacing w:before="0" w:after="0"/>
        <w:rPr>
          <w:rFonts w:ascii="Arial" w:hAnsi="Arial" w:cs="Arial"/>
          <w:color w:val="363534"/>
          <w:szCs w:val="22"/>
        </w:rPr>
      </w:pPr>
      <w:r w:rsidRPr="00495B3B">
        <w:rPr>
          <w:rFonts w:ascii="Arial" w:eastAsia="Calibri" w:hAnsi="Arial" w:cs="Arial"/>
          <w:color w:val="363534"/>
          <w:szCs w:val="22"/>
        </w:rPr>
        <w:lastRenderedPageBreak/>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AA9AAFD" w14:textId="77777777" w:rsidR="005A0C6C" w:rsidRPr="00495B3B" w:rsidRDefault="005A0C6C" w:rsidP="005A0C6C">
      <w:pPr>
        <w:rPr>
          <w:rFonts w:ascii="Arial" w:hAnsi="Arial" w:cs="Arial"/>
          <w:b/>
          <w:bCs/>
          <w:color w:val="363534"/>
        </w:rPr>
      </w:pPr>
      <w:r w:rsidRPr="00495B3B">
        <w:rPr>
          <w:rFonts w:ascii="Arial" w:hAnsi="Arial" w:cs="Arial"/>
          <w:b/>
          <w:bCs/>
          <w:color w:val="363534"/>
        </w:rPr>
        <w:t>Aboriginal Cultural Safety</w:t>
      </w:r>
    </w:p>
    <w:p w14:paraId="5A11993B" w14:textId="77777777" w:rsidR="005A0C6C" w:rsidRPr="00495B3B" w:rsidRDefault="005A0C6C" w:rsidP="005A0C6C">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Pr="726134F3">
          <w:rPr>
            <w:rStyle w:val="Hyperlink"/>
            <w:rFonts w:ascii="Arial" w:hAnsi="Arial" w:cs="Arial"/>
          </w:rPr>
          <w:t>aboriginal.employment@deeca.vic.gov.au</w:t>
        </w:r>
      </w:hyperlink>
      <w:r>
        <w:t>.</w:t>
      </w:r>
    </w:p>
    <w:p w14:paraId="703046DF" w14:textId="77777777" w:rsidR="005A0C6C" w:rsidRPr="00495B3B" w:rsidRDefault="005A0C6C" w:rsidP="005A0C6C">
      <w:pPr>
        <w:rPr>
          <w:rFonts w:ascii="Arial" w:hAnsi="Arial" w:cs="Arial"/>
          <w:b/>
          <w:color w:val="363534"/>
          <w:szCs w:val="22"/>
        </w:rPr>
      </w:pPr>
      <w:r w:rsidRPr="00495B3B">
        <w:rPr>
          <w:rFonts w:ascii="Arial" w:hAnsi="Arial" w:cs="Arial"/>
          <w:b/>
          <w:color w:val="363534"/>
          <w:szCs w:val="22"/>
        </w:rPr>
        <w:t>Balancing your Life / Hybrid Working</w:t>
      </w:r>
    </w:p>
    <w:p w14:paraId="071BBC12" w14:textId="77777777" w:rsidR="005A0C6C" w:rsidRPr="00495B3B" w:rsidRDefault="005A0C6C" w:rsidP="005A0C6C">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E0AB71C" w14:textId="77777777" w:rsidR="005A0C6C" w:rsidRPr="00495B3B" w:rsidRDefault="005A0C6C" w:rsidP="005A0C6C">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30"/>
      <w:headerReference w:type="first" r:id="rId3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BE6F" w14:textId="77777777" w:rsidR="00F8586E" w:rsidRDefault="00F8586E" w:rsidP="00CD157B">
      <w:pPr>
        <w:pStyle w:val="NoSpacing"/>
      </w:pPr>
    </w:p>
    <w:p w14:paraId="672C6DB5" w14:textId="77777777" w:rsidR="00F8586E" w:rsidRDefault="00F8586E"/>
  </w:endnote>
  <w:endnote w:type="continuationSeparator" w:id="0">
    <w:p w14:paraId="0A1ED5B4" w14:textId="77777777" w:rsidR="00F8586E" w:rsidRDefault="00F8586E" w:rsidP="00CD157B">
      <w:pPr>
        <w:pStyle w:val="NoSpacing"/>
      </w:pPr>
    </w:p>
    <w:p w14:paraId="5BF90F10" w14:textId="77777777" w:rsidR="00F8586E" w:rsidRDefault="00F8586E"/>
  </w:endnote>
  <w:endnote w:type="continuationNotice" w:id="1">
    <w:p w14:paraId="7EA5F46D" w14:textId="77777777" w:rsidR="00F8586E" w:rsidRDefault="00F8586E" w:rsidP="00CD157B">
      <w:pPr>
        <w:pStyle w:val="NoSpacing"/>
      </w:pPr>
    </w:p>
    <w:p w14:paraId="3F9EF441" w14:textId="77777777" w:rsidR="00F8586E" w:rsidRDefault="00F85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CC7C05A" w:rsidR="00C871F9" w:rsidRPr="00810C40" w:rsidRDefault="00C871F9" w:rsidP="00C871F9">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4</w:t>
    </w:r>
    <w:r w:rsidRPr="2597E319">
      <w:rPr>
        <w:b/>
      </w:rPr>
      <w:fldChar w:fldCharType="end"/>
    </w:r>
    <w:r>
      <w:tab/>
    </w:r>
    <w:r w:rsidR="2597E319">
      <w:t>November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4FD7B60" w:rsidR="00D40EAF" w:rsidRPr="00810C40" w:rsidRDefault="00D40EAF" w:rsidP="00D40EAF">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2</w:t>
    </w:r>
    <w:r w:rsidRPr="2597E319">
      <w:rPr>
        <w:b/>
      </w:rPr>
      <w:fldChar w:fldCharType="end"/>
    </w:r>
    <w:r>
      <w:tab/>
    </w:r>
    <w:r w:rsidR="2597E319">
      <w:t>November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w14:anchorId="0B6F354C">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BB02" w14:textId="77777777" w:rsidR="00F8586E" w:rsidRPr="0056073C" w:rsidRDefault="00F8586E" w:rsidP="005D764F">
      <w:pPr>
        <w:pStyle w:val="FootnoteSeparator"/>
      </w:pPr>
    </w:p>
    <w:p w14:paraId="165409CE" w14:textId="77777777" w:rsidR="00F8586E" w:rsidRDefault="00F8586E"/>
  </w:footnote>
  <w:footnote w:type="continuationSeparator" w:id="0">
    <w:p w14:paraId="3CC597E3" w14:textId="77777777" w:rsidR="00F8586E" w:rsidRPr="00CA30B7" w:rsidRDefault="00F8586E" w:rsidP="006D5A90">
      <w:pPr>
        <w:rPr>
          <w:lang w:val="en-US"/>
        </w:rPr>
      </w:pPr>
      <w:r w:rsidRPr="00CA30B7">
        <w:rPr>
          <w:lang w:val="en-US"/>
        </w:rPr>
        <w:t>_______</w:t>
      </w:r>
    </w:p>
    <w:p w14:paraId="0360BF9A" w14:textId="77777777" w:rsidR="00F8586E" w:rsidRDefault="00F8586E"/>
  </w:footnote>
  <w:footnote w:type="continuationNotice" w:id="1">
    <w:p w14:paraId="5BE15FEE" w14:textId="77777777" w:rsidR="00F8586E" w:rsidRDefault="00F8586E" w:rsidP="006D5A90"/>
    <w:p w14:paraId="702A1B27" w14:textId="77777777" w:rsidR="00F8586E" w:rsidRDefault="00F85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B3606FC">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9D25871">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A8C9261">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8DE8A7B">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BF4A3B6">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47ECEE7">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11C20B2">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BEA2651">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93D3225">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A48A6B0">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1D9DCC7">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BB42FAC">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33F925C8" w14:textId="77777777" w:rsidTr="2597E319">
      <w:trPr>
        <w:trHeight w:val="300"/>
      </w:trPr>
      <w:tc>
        <w:tcPr>
          <w:tcW w:w="3400" w:type="dxa"/>
        </w:tcPr>
        <w:p w14:paraId="5F32D26B" w14:textId="14A354F1" w:rsidR="2597E319" w:rsidRDefault="2597E319" w:rsidP="2597E319">
          <w:pPr>
            <w:pStyle w:val="Header"/>
            <w:ind w:left="-115"/>
          </w:pPr>
        </w:p>
      </w:tc>
      <w:tc>
        <w:tcPr>
          <w:tcW w:w="3400" w:type="dxa"/>
        </w:tcPr>
        <w:p w14:paraId="4412FB27" w14:textId="14004028" w:rsidR="2597E319" w:rsidRDefault="2597E319" w:rsidP="2597E319">
          <w:pPr>
            <w:pStyle w:val="Header"/>
            <w:jc w:val="center"/>
          </w:pPr>
        </w:p>
      </w:tc>
      <w:tc>
        <w:tcPr>
          <w:tcW w:w="3400" w:type="dxa"/>
        </w:tcPr>
        <w:p w14:paraId="4D589ED7" w14:textId="2AAAE5AC" w:rsidR="2597E319" w:rsidRDefault="2597E319" w:rsidP="2597E319">
          <w:pPr>
            <w:pStyle w:val="Header"/>
            <w:ind w:right="-115"/>
            <w:jc w:val="right"/>
          </w:pPr>
        </w:p>
      </w:tc>
    </w:tr>
  </w:tbl>
  <w:p w14:paraId="1C02EF11" w14:textId="2A878F10" w:rsidR="2597E319" w:rsidRDefault="2597E319" w:rsidP="2597E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45B83CB6" w14:textId="77777777" w:rsidTr="2597E319">
      <w:trPr>
        <w:trHeight w:val="300"/>
      </w:trPr>
      <w:tc>
        <w:tcPr>
          <w:tcW w:w="3400" w:type="dxa"/>
        </w:tcPr>
        <w:p w14:paraId="67C52860" w14:textId="4B43D5D2" w:rsidR="2597E319" w:rsidRDefault="2597E319" w:rsidP="2597E319">
          <w:pPr>
            <w:pStyle w:val="Header"/>
            <w:ind w:left="-115"/>
          </w:pPr>
        </w:p>
      </w:tc>
      <w:tc>
        <w:tcPr>
          <w:tcW w:w="3400" w:type="dxa"/>
        </w:tcPr>
        <w:p w14:paraId="3FAAF1CE" w14:textId="7B6B11AD" w:rsidR="2597E319" w:rsidRDefault="2597E319" w:rsidP="2597E319">
          <w:pPr>
            <w:pStyle w:val="Header"/>
            <w:jc w:val="center"/>
          </w:pPr>
        </w:p>
      </w:tc>
      <w:tc>
        <w:tcPr>
          <w:tcW w:w="3400" w:type="dxa"/>
        </w:tcPr>
        <w:p w14:paraId="2A344B9A" w14:textId="4910EEFF" w:rsidR="2597E319" w:rsidRDefault="2597E319" w:rsidP="2597E319">
          <w:pPr>
            <w:pStyle w:val="Header"/>
            <w:ind w:right="-115"/>
            <w:jc w:val="right"/>
          </w:pPr>
        </w:p>
      </w:tc>
    </w:tr>
  </w:tbl>
  <w:p w14:paraId="4932A332" w14:textId="3C4439D9" w:rsidR="2597E319" w:rsidRDefault="2597E319" w:rsidP="2597E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117CE4D">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A0BC4C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91D0638">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0C3001B">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3280741">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D09785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F1B5F23">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48D623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A8E5986">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FBCF07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3C68687">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DEEC52A">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0BB4757A" w14:textId="77777777" w:rsidTr="2597E319">
      <w:trPr>
        <w:trHeight w:val="300"/>
      </w:trPr>
      <w:tc>
        <w:tcPr>
          <w:tcW w:w="3400" w:type="dxa"/>
        </w:tcPr>
        <w:p w14:paraId="6D769FDB" w14:textId="006521CE" w:rsidR="2597E319" w:rsidRDefault="2597E319" w:rsidP="2597E319">
          <w:pPr>
            <w:pStyle w:val="Header"/>
            <w:ind w:left="-115"/>
          </w:pPr>
        </w:p>
      </w:tc>
      <w:tc>
        <w:tcPr>
          <w:tcW w:w="3400" w:type="dxa"/>
        </w:tcPr>
        <w:p w14:paraId="3E2B8FD7" w14:textId="2DF4578E" w:rsidR="2597E319" w:rsidRDefault="2597E319" w:rsidP="2597E319">
          <w:pPr>
            <w:pStyle w:val="Header"/>
            <w:jc w:val="center"/>
          </w:pPr>
        </w:p>
      </w:tc>
      <w:tc>
        <w:tcPr>
          <w:tcW w:w="3400" w:type="dxa"/>
        </w:tcPr>
        <w:p w14:paraId="2DA283FA" w14:textId="534CA405" w:rsidR="2597E319" w:rsidRDefault="2597E319" w:rsidP="2597E319">
          <w:pPr>
            <w:pStyle w:val="Header"/>
            <w:ind w:right="-115"/>
            <w:jc w:val="right"/>
          </w:pPr>
        </w:p>
      </w:tc>
    </w:tr>
  </w:tbl>
  <w:p w14:paraId="6B9E058F" w14:textId="1C2E8F12" w:rsidR="2597E319" w:rsidRDefault="2597E319" w:rsidP="2597E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D0EF83D"/>
    <w:multiLevelType w:val="hybridMultilevel"/>
    <w:tmpl w:val="13C60C40"/>
    <w:lvl w:ilvl="0" w:tplc="614AE17E">
      <w:start w:val="1"/>
      <w:numFmt w:val="bullet"/>
      <w:lvlText w:val=""/>
      <w:lvlJc w:val="left"/>
      <w:pPr>
        <w:ind w:left="720" w:hanging="360"/>
      </w:pPr>
      <w:rPr>
        <w:rFonts w:ascii="Symbol" w:hAnsi="Symbol" w:hint="default"/>
      </w:rPr>
    </w:lvl>
    <w:lvl w:ilvl="1" w:tplc="3FBA126C">
      <w:start w:val="1"/>
      <w:numFmt w:val="bullet"/>
      <w:lvlText w:val="o"/>
      <w:lvlJc w:val="left"/>
      <w:pPr>
        <w:ind w:left="1440" w:hanging="360"/>
      </w:pPr>
      <w:rPr>
        <w:rFonts w:ascii="Courier New" w:hAnsi="Courier New" w:hint="default"/>
      </w:rPr>
    </w:lvl>
    <w:lvl w:ilvl="2" w:tplc="004E27B0">
      <w:start w:val="1"/>
      <w:numFmt w:val="bullet"/>
      <w:lvlText w:val=""/>
      <w:lvlJc w:val="left"/>
      <w:pPr>
        <w:ind w:left="2160" w:hanging="360"/>
      </w:pPr>
      <w:rPr>
        <w:rFonts w:ascii="Wingdings" w:hAnsi="Wingdings" w:hint="default"/>
      </w:rPr>
    </w:lvl>
    <w:lvl w:ilvl="3" w:tplc="E0584452">
      <w:start w:val="1"/>
      <w:numFmt w:val="bullet"/>
      <w:lvlText w:val=""/>
      <w:lvlJc w:val="left"/>
      <w:pPr>
        <w:ind w:left="2880" w:hanging="360"/>
      </w:pPr>
      <w:rPr>
        <w:rFonts w:ascii="Symbol" w:hAnsi="Symbol" w:hint="default"/>
      </w:rPr>
    </w:lvl>
    <w:lvl w:ilvl="4" w:tplc="650A9CC2">
      <w:start w:val="1"/>
      <w:numFmt w:val="bullet"/>
      <w:lvlText w:val="o"/>
      <w:lvlJc w:val="left"/>
      <w:pPr>
        <w:ind w:left="3600" w:hanging="360"/>
      </w:pPr>
      <w:rPr>
        <w:rFonts w:ascii="Courier New" w:hAnsi="Courier New" w:hint="default"/>
      </w:rPr>
    </w:lvl>
    <w:lvl w:ilvl="5" w:tplc="274A9206">
      <w:start w:val="1"/>
      <w:numFmt w:val="bullet"/>
      <w:lvlText w:val=""/>
      <w:lvlJc w:val="left"/>
      <w:pPr>
        <w:ind w:left="4320" w:hanging="360"/>
      </w:pPr>
      <w:rPr>
        <w:rFonts w:ascii="Wingdings" w:hAnsi="Wingdings" w:hint="default"/>
      </w:rPr>
    </w:lvl>
    <w:lvl w:ilvl="6" w:tplc="66D46C56">
      <w:start w:val="1"/>
      <w:numFmt w:val="bullet"/>
      <w:lvlText w:val=""/>
      <w:lvlJc w:val="left"/>
      <w:pPr>
        <w:ind w:left="5040" w:hanging="360"/>
      </w:pPr>
      <w:rPr>
        <w:rFonts w:ascii="Symbol" w:hAnsi="Symbol" w:hint="default"/>
      </w:rPr>
    </w:lvl>
    <w:lvl w:ilvl="7" w:tplc="B1FA47AC">
      <w:start w:val="1"/>
      <w:numFmt w:val="bullet"/>
      <w:lvlText w:val="o"/>
      <w:lvlJc w:val="left"/>
      <w:pPr>
        <w:ind w:left="5760" w:hanging="360"/>
      </w:pPr>
      <w:rPr>
        <w:rFonts w:ascii="Courier New" w:hAnsi="Courier New" w:hint="default"/>
      </w:rPr>
    </w:lvl>
    <w:lvl w:ilvl="8" w:tplc="ECF86C18">
      <w:start w:val="1"/>
      <w:numFmt w:val="bullet"/>
      <w:lvlText w:val=""/>
      <w:lvlJc w:val="left"/>
      <w:pPr>
        <w:ind w:left="6480" w:hanging="360"/>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EC0BBB"/>
    <w:multiLevelType w:val="hybridMultilevel"/>
    <w:tmpl w:val="7068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640259415">
    <w:abstractNumId w:val="35"/>
  </w:num>
  <w:num w:numId="2" w16cid:durableId="1551458554">
    <w:abstractNumId w:val="12"/>
  </w:num>
  <w:num w:numId="3" w16cid:durableId="1128745877">
    <w:abstractNumId w:val="13"/>
  </w:num>
  <w:num w:numId="4" w16cid:durableId="170411264">
    <w:abstractNumId w:val="47"/>
  </w:num>
  <w:num w:numId="5" w16cid:durableId="985085104">
    <w:abstractNumId w:val="11"/>
  </w:num>
  <w:num w:numId="6" w16cid:durableId="1872112631">
    <w:abstractNumId w:val="14"/>
  </w:num>
  <w:num w:numId="7" w16cid:durableId="336812815">
    <w:abstractNumId w:val="28"/>
  </w:num>
  <w:num w:numId="8" w16cid:durableId="155153463">
    <w:abstractNumId w:val="3"/>
  </w:num>
  <w:num w:numId="9" w16cid:durableId="1428236886">
    <w:abstractNumId w:val="32"/>
  </w:num>
  <w:num w:numId="10" w16cid:durableId="1644658156">
    <w:abstractNumId w:val="23"/>
  </w:num>
  <w:num w:numId="11" w16cid:durableId="103154041">
    <w:abstractNumId w:val="36"/>
  </w:num>
  <w:num w:numId="12" w16cid:durableId="2129203638">
    <w:abstractNumId w:val="40"/>
  </w:num>
  <w:num w:numId="13" w16cid:durableId="377365663">
    <w:abstractNumId w:val="29"/>
  </w:num>
  <w:num w:numId="14" w16cid:durableId="1308436166">
    <w:abstractNumId w:val="31"/>
  </w:num>
  <w:num w:numId="15" w16cid:durableId="1335643199">
    <w:abstractNumId w:val="45"/>
  </w:num>
  <w:num w:numId="16" w16cid:durableId="384449836">
    <w:abstractNumId w:val="9"/>
  </w:num>
  <w:num w:numId="17" w16cid:durableId="1160577431">
    <w:abstractNumId w:val="34"/>
  </w:num>
  <w:num w:numId="18" w16cid:durableId="27071314">
    <w:abstractNumId w:val="8"/>
  </w:num>
  <w:num w:numId="19" w16cid:durableId="338120444">
    <w:abstractNumId w:val="5"/>
  </w:num>
  <w:num w:numId="20" w16cid:durableId="1673139647">
    <w:abstractNumId w:val="19"/>
  </w:num>
  <w:num w:numId="21"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512491">
    <w:abstractNumId w:val="16"/>
  </w:num>
  <w:num w:numId="27"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180205">
    <w:abstractNumId w:val="26"/>
  </w:num>
  <w:num w:numId="31" w16cid:durableId="1579175524">
    <w:abstractNumId w:val="0"/>
  </w:num>
  <w:num w:numId="32" w16cid:durableId="1199856773">
    <w:abstractNumId w:val="2"/>
  </w:num>
  <w:num w:numId="33" w16cid:durableId="2138447666">
    <w:abstractNumId w:val="1"/>
  </w:num>
  <w:num w:numId="34" w16cid:durableId="334118162">
    <w:abstractNumId w:val="42"/>
  </w:num>
  <w:num w:numId="35" w16cid:durableId="196283207">
    <w:abstractNumId w:val="46"/>
  </w:num>
  <w:num w:numId="36" w16cid:durableId="1742215375">
    <w:abstractNumId w:val="57"/>
  </w:num>
  <w:num w:numId="37" w16cid:durableId="664823544">
    <w:abstractNumId w:val="51"/>
  </w:num>
  <w:num w:numId="38"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7679262">
    <w:abstractNumId w:val="53"/>
  </w:num>
  <w:num w:numId="41"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9774751">
    <w:abstractNumId w:val="15"/>
  </w:num>
  <w:num w:numId="43" w16cid:durableId="1149785811">
    <w:abstractNumId w:val="39"/>
  </w:num>
  <w:num w:numId="44" w16cid:durableId="729228463">
    <w:abstractNumId w:val="7"/>
  </w:num>
  <w:num w:numId="45" w16cid:durableId="322781625">
    <w:abstractNumId w:val="30"/>
  </w:num>
  <w:num w:numId="46" w16cid:durableId="463933710">
    <w:abstractNumId w:val="55"/>
  </w:num>
  <w:num w:numId="47" w16cid:durableId="25254966">
    <w:abstractNumId w:val="43"/>
  </w:num>
  <w:num w:numId="48" w16cid:durableId="949628045">
    <w:abstractNumId w:val="33"/>
  </w:num>
  <w:num w:numId="49" w16cid:durableId="480730007">
    <w:abstractNumId w:val="5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0C96"/>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61B"/>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15BC"/>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C6C"/>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9C"/>
    <w:rsid w:val="005E380B"/>
    <w:rsid w:val="005E3C28"/>
    <w:rsid w:val="005E3F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76D"/>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AE2"/>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2D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0795B"/>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DE0"/>
    <w:rsid w:val="00CB12E7"/>
    <w:rsid w:val="00CB1493"/>
    <w:rsid w:val="00CB163A"/>
    <w:rsid w:val="00CB1761"/>
    <w:rsid w:val="00CB1891"/>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86E"/>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DA1A7BF"/>
    <w:rsid w:val="0E841765"/>
    <w:rsid w:val="14C5E7DE"/>
    <w:rsid w:val="14D3B90F"/>
    <w:rsid w:val="152715DC"/>
    <w:rsid w:val="1A02D658"/>
    <w:rsid w:val="1ABFE420"/>
    <w:rsid w:val="1B529D26"/>
    <w:rsid w:val="1E936BA6"/>
    <w:rsid w:val="1EA83349"/>
    <w:rsid w:val="2395D6AB"/>
    <w:rsid w:val="2597E319"/>
    <w:rsid w:val="267FFA3B"/>
    <w:rsid w:val="27C4CA40"/>
    <w:rsid w:val="28C2C21D"/>
    <w:rsid w:val="28F304C4"/>
    <w:rsid w:val="2B6A9E22"/>
    <w:rsid w:val="2DA398B5"/>
    <w:rsid w:val="354947A7"/>
    <w:rsid w:val="3A391991"/>
    <w:rsid w:val="3B4B9C34"/>
    <w:rsid w:val="3C76921A"/>
    <w:rsid w:val="3E3A602D"/>
    <w:rsid w:val="45F0CB01"/>
    <w:rsid w:val="497C7E43"/>
    <w:rsid w:val="4B78F97D"/>
    <w:rsid w:val="4E7FE79E"/>
    <w:rsid w:val="628F3643"/>
    <w:rsid w:val="684699BE"/>
    <w:rsid w:val="6A883EE6"/>
    <w:rsid w:val="6ECD1876"/>
    <w:rsid w:val="6F9603FB"/>
    <w:rsid w:val="73A1FCE4"/>
    <w:rsid w:val="76381EA3"/>
    <w:rsid w:val="76DEEB39"/>
    <w:rsid w:val="7A8FAF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9DB17F2E-4411-4539-829A-39777C4D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3"/>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5"/>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9"/>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1"/>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8"/>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6"/>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7"/>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1"/>
      </w:numPr>
    </w:pPr>
  </w:style>
  <w:style w:type="paragraph" w:customStyle="1" w:styleId="Source">
    <w:name w:val="Source"/>
    <w:basedOn w:val="Normal"/>
    <w:next w:val="BodyText"/>
    <w:qFormat/>
    <w:rsid w:val="00853A46"/>
    <w:pPr>
      <w:numPr>
        <w:numId w:val="14"/>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1"/>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7"/>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5"/>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20"/>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6"/>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7"/>
      </w:numPr>
      <w:tabs>
        <w:tab w:val="left" w:pos="1134"/>
      </w:tabs>
      <w:spacing w:before="120" w:after="120"/>
    </w:pPr>
    <w:rPr>
      <w:rFonts w:cs="Arial"/>
    </w:rPr>
  </w:style>
  <w:style w:type="paragraph" w:customStyle="1" w:styleId="QuoteBullet2">
    <w:name w:val="Quote Bullet 2"/>
    <w:basedOn w:val="Quote"/>
    <w:qFormat/>
    <w:rsid w:val="00AC1C83"/>
    <w:pPr>
      <w:numPr>
        <w:ilvl w:val="1"/>
        <w:numId w:val="37"/>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2"/>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2"/>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2"/>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peter.karvelis@deeca.vic.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4.xml"/><Relationship Id="rId8"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735CA"/>
    <w:rsid w:val="000D787A"/>
    <w:rsid w:val="00144D4F"/>
    <w:rsid w:val="00172199"/>
    <w:rsid w:val="00180803"/>
    <w:rsid w:val="001A1929"/>
    <w:rsid w:val="001B126F"/>
    <w:rsid w:val="001E70DB"/>
    <w:rsid w:val="002046E5"/>
    <w:rsid w:val="00252555"/>
    <w:rsid w:val="002D439B"/>
    <w:rsid w:val="00311153"/>
    <w:rsid w:val="00396089"/>
    <w:rsid w:val="003C46A5"/>
    <w:rsid w:val="003C590D"/>
    <w:rsid w:val="003D3315"/>
    <w:rsid w:val="004A192E"/>
    <w:rsid w:val="004D539D"/>
    <w:rsid w:val="004F08CD"/>
    <w:rsid w:val="00567A4A"/>
    <w:rsid w:val="0057312F"/>
    <w:rsid w:val="005963E2"/>
    <w:rsid w:val="005E3EF9"/>
    <w:rsid w:val="00626536"/>
    <w:rsid w:val="006A076D"/>
    <w:rsid w:val="0074352B"/>
    <w:rsid w:val="007469C2"/>
    <w:rsid w:val="00764AE2"/>
    <w:rsid w:val="007952A0"/>
    <w:rsid w:val="007E12FC"/>
    <w:rsid w:val="0081140E"/>
    <w:rsid w:val="00831A76"/>
    <w:rsid w:val="008811ED"/>
    <w:rsid w:val="00885D64"/>
    <w:rsid w:val="0090399D"/>
    <w:rsid w:val="00956653"/>
    <w:rsid w:val="009C13E3"/>
    <w:rsid w:val="009E73DF"/>
    <w:rsid w:val="00A36F8F"/>
    <w:rsid w:val="00A46340"/>
    <w:rsid w:val="00A90CB9"/>
    <w:rsid w:val="00AA6397"/>
    <w:rsid w:val="00AC544A"/>
    <w:rsid w:val="00B132DC"/>
    <w:rsid w:val="00B524DA"/>
    <w:rsid w:val="00B846BA"/>
    <w:rsid w:val="00B97501"/>
    <w:rsid w:val="00BA1B14"/>
    <w:rsid w:val="00BF07CF"/>
    <w:rsid w:val="00BF5EC7"/>
    <w:rsid w:val="00C14A65"/>
    <w:rsid w:val="00C40F8A"/>
    <w:rsid w:val="00C82185"/>
    <w:rsid w:val="00C86966"/>
    <w:rsid w:val="00CD416E"/>
    <w:rsid w:val="00D2738F"/>
    <w:rsid w:val="00D32266"/>
    <w:rsid w:val="00DB1669"/>
    <w:rsid w:val="00DE18FA"/>
    <w:rsid w:val="00F83FF7"/>
    <w:rsid w:val="00F90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1ED"/>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9829671BC7C77458F01DEBC53F5AAB7" ma:contentTypeVersion="331" ma:contentTypeDescription="For use with ECM V2 HR Administration libraries. Documents relating to the hiring, on boarding, secondment, higher duties etc. of staff and contractors. &#10;!Note: Performance Management is in EPP " ma:contentTypeScope="" ma:versionID="9f7db4ae34051a785a2e31d3daf952ad">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6713ea59-627a-4043-9651-ac28ea461a8f" xmlns:ns6="153f2783-1c70-4464-955e-85040a58200f" targetNamespace="http://schemas.microsoft.com/office/2006/metadata/properties" ma:root="true" ma:fieldsID="20939dbadb8d145a5dcda5ad0d30807a" ns1:_="" ns2:_="" ns3:_="" ns4:_="" ns5:_="" ns6:_="">
    <xsd:import namespace="http://schemas.microsoft.com/sharepoint/v3"/>
    <xsd:import namespace="9fd47c19-1c4a-4d7d-b342-c10cef269344"/>
    <xsd:import namespace="a5f32de4-e402-4188-b034-e71ca7d22e54"/>
    <xsd:import namespace="9c4c9ff1-6507-4003-9a10-6bc219b54808"/>
    <xsd:import namespace="6713ea59-627a-4043-9651-ac28ea461a8f"/>
    <xsd:import namespace="153f2783-1c70-4464-955e-85040a58200f"/>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2:g91c59fb10974fa1a03160ad8386f0f4" minOccurs="0"/>
                <xsd:element ref="ns4:DLCPolicyLabelClientValue" minOccurs="0"/>
                <xsd:element ref="ns4:DLCPolicyLabelLock" minOccurs="0"/>
                <xsd:element ref="ns2:Employee_Name" minOccurs="0"/>
                <xsd:element ref="ns1:ManagersName" minOccurs="0"/>
                <xsd:element ref="ns5:MediaServiceMetadata" minOccurs="0"/>
                <xsd:element ref="ns5:MediaServiceFastMetadata" minOccurs="0"/>
                <xsd:element ref="ns5:MediaServiceAutoKeyPoints" minOccurs="0"/>
                <xsd:element ref="ns5:MediaServiceKeyPoints" minOccurs="0"/>
                <xsd:element ref="ns1:_dlc_Exempt" minOccurs="0"/>
                <xsd:element ref="ns4:DLCPolicyLabelValue" minOccurs="0"/>
                <xsd:element ref="ns6:SharedWithUsers" minOccurs="0"/>
                <xsd:element ref="ns6:SharedWithDetails" minOccurs="0"/>
                <xsd:element ref="ns2:pb0badcc4c144703855597c78047301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5" nillable="true" ma:displayName="Manager's Name" ma:internalName="ManagersName">
      <xsd:simpleType>
        <xsd:restriction base="dms:Text"/>
      </xsd:simpleType>
    </xsd:element>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4"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0badcc4c144703855597c78047301a" ma:index="35"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3ea59-627a-4043-9651-ac28ea461a8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119</Value>
    </TaxCatchAll>
    <ManagersName xmlns="http://schemas.microsoft.com/sharepoint/v3" xsi:nil="true"/>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_dlc_DocId xmlns="a5f32de4-e402-4188-b034-e71ca7d22e54">DOCID7-455801791-510</_dlc_DocId>
    <_dlc_DocIdUrl xmlns="a5f32de4-e402-4188-b034-e71ca7d22e54">
      <Url>https://delwpvicgovau.sharepoint.com/sites/ecm_7/_layouts/15/DocIdRedir.aspx?ID=DOCID7-455801791-510</Url>
      <Description>DOCID7-455801791-510</Description>
    </_dlc_DocIdUrl>
    <DLCPolicyLabelValue xmlns="9c4c9ff1-6507-4003-9a10-6bc219b54808">Version {_UIVersionString}</DLCPolicyLabelVal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D57F05-8C72-4E73-A6B8-C72A662754BA}">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8F24FCE-B434-4A3C-B785-00BEF2891126}">
  <ds:schemaRefs>
    <ds:schemaRef ds:uri="office.server.policy"/>
  </ds:schemaRefs>
</ds:datastoreItem>
</file>

<file path=customXml/itemProps5.xml><?xml version="1.0" encoding="utf-8"?>
<ds:datastoreItem xmlns:ds="http://schemas.openxmlformats.org/officeDocument/2006/customXml" ds:itemID="{1AEE806C-BC8E-4154-8BD7-038BC14DA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6713ea59-627a-4043-9651-ac28ea461a8f"/>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9c4c9ff1-6507-4003-9a10-6bc219b54808"/>
  </ds:schemaRefs>
</ds:datastoreItem>
</file>

<file path=customXml/itemProps7.xml><?xml version="1.0" encoding="utf-8"?>
<ds:datastoreItem xmlns:ds="http://schemas.openxmlformats.org/officeDocument/2006/customXml" ds:itemID="{44AEBB2D-65AD-48C4-A3D0-81F6A647CE91}">
  <ds:schemaRefs>
    <ds:schemaRef ds:uri="http://schemas.microsoft.com/sharepoint/event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9</cp:revision>
  <cp:lastPrinted>2022-06-17T02:14:00Z</cp:lastPrinted>
  <dcterms:created xsi:type="dcterms:W3CDTF">2025-06-19T01:58:00Z</dcterms:created>
  <dcterms:modified xsi:type="dcterms:W3CDTF">2026-06-05T02:08:00Z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0x0101009298E819CE1EBB4F8D2096B3E0F0C2910F0069829671BC7C77458F01DEBC53F5AAB7</vt:lpwstr>
  </property>
  <property fmtid="{D5CDD505-2E9C-101B-9397-08002B2CF9AE}" pid="5" name="MediaServiceImageTags">
    <vt:lpwstr/>
  </property>
  <property fmtid="{D5CDD505-2E9C-101B-9397-08002B2CF9AE}" pid="6" name="_dlc_DocIdItemGuid">
    <vt:lpwstr>ca72ba9c-ddcd-480e-a259-f3e11f3dd58a</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Records_x0020_Class_x0020_HR_x0020_Admin">
    <vt:lpwstr>119;#Position Description|9b605b16-5ff4-4142-9815-57489365a519</vt:lpwstr>
  </property>
  <property fmtid="{D5CDD505-2E9C-101B-9397-08002B2CF9AE}" pid="26" name="Security_x0020_Classification">
    <vt:lpwstr>3;#Unclassified|7fa379f4-4aba-4692-ab80-7d39d3a23cf4</vt:lpwstr>
  </property>
  <property fmtid="{D5CDD505-2E9C-101B-9397-08002B2CF9AE}" pid="27" name="Department_x0020_Document_x0020_Type">
    <vt:lpwstr/>
  </property>
  <property fmtid="{D5CDD505-2E9C-101B-9397-08002B2CF9AE}" pid="28" name="Dissemination_x0020_Limiting_x0020_Marker">
    <vt:lpwstr>2;#FOUO|955eb6fc-b35a-4808-8aa5-31e514fa3f26</vt:lpwstr>
  </property>
  <property fmtid="{D5CDD505-2E9C-101B-9397-08002B2CF9AE}" pid="29" name="Records Class HR Admin">
    <vt:lpwstr>119;#Position Description|9b605b16-5ff4-4142-9815-57489365a519</vt:lpwstr>
  </property>
</Properties>
</file>